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0C20" w14:textId="77777777" w:rsidR="005538EE" w:rsidRPr="00296EE3" w:rsidRDefault="005538EE" w:rsidP="005538EE">
      <w:pPr>
        <w:pStyle w:val="Title"/>
        <w:rPr>
          <w:szCs w:val="40"/>
        </w:rPr>
      </w:pPr>
      <w:r>
        <w:t>La atonía uterina y los uterotónicos en la hemorragia posparto</w:t>
      </w:r>
    </w:p>
    <w:p w14:paraId="1090F88D" w14:textId="77777777" w:rsidR="005538EE" w:rsidRPr="005538EE" w:rsidRDefault="005538EE" w:rsidP="005538EE">
      <w:pPr>
        <w:rPr>
          <w:rFonts w:asciiTheme="majorHAnsi" w:hAnsiTheme="majorHAnsi" w:cstheme="majorHAnsi"/>
          <w:color w:val="000000"/>
          <w:shd w:val="clear" w:color="auto" w:fill="FFFFFF"/>
        </w:rPr>
      </w:pPr>
      <w:r>
        <w:t xml:space="preserve">La Federación Internacional de Ginecología y Obstetricia (FIGO) reconoce que la hemorragia posparto (HPP) sigue siendo la principal causa de morbilidad y mortalidad materna en todo el mundo. En 2022, el Comité de Parto y HPP de la FIGO </w:t>
      </w:r>
      <w:r>
        <w:rPr>
          <w:rFonts w:asciiTheme="majorHAnsi" w:hAnsiTheme="majorHAnsi"/>
          <w:color w:val="000000"/>
          <w:shd w:val="clear" w:color="auto" w:fill="FFFFFF"/>
        </w:rPr>
        <w:t xml:space="preserve">elaboró una edición suplemento de la </w:t>
      </w:r>
      <w:r>
        <w:rPr>
          <w:rFonts w:asciiTheme="majorHAnsi" w:hAnsiTheme="majorHAnsi"/>
          <w:i/>
          <w:color w:val="000000"/>
          <w:shd w:val="clear" w:color="auto" w:fill="FFFFFF"/>
        </w:rPr>
        <w:t>Revista Internacional de Ginecología y Obstetricia</w:t>
      </w:r>
      <w:r>
        <w:rPr>
          <w:rFonts w:asciiTheme="majorHAnsi" w:hAnsiTheme="majorHAnsi"/>
          <w:color w:val="000000"/>
          <w:shd w:val="clear" w:color="auto" w:fill="FFFFFF"/>
        </w:rPr>
        <w:t xml:space="preserve"> dedicada al tratamiento de la HPP.</w:t>
      </w:r>
      <w:r>
        <w:rPr>
          <w:rFonts w:asciiTheme="majorHAnsi" w:hAnsiTheme="majorHAnsi"/>
          <w:color w:val="00AD86" w:themeColor="accent1"/>
          <w:shd w:val="clear" w:color="auto" w:fill="FFFFFF"/>
          <w:vertAlign w:val="superscript"/>
        </w:rPr>
        <w:t>1</w:t>
      </w:r>
      <w:r>
        <w:rPr>
          <w:rFonts w:asciiTheme="majorHAnsi" w:hAnsiTheme="majorHAnsi"/>
          <w:color w:val="000000"/>
          <w:shd w:val="clear" w:color="auto" w:fill="FFFFFF"/>
        </w:rPr>
        <w:t xml:space="preserve"> La publicación puso de relieve que, a pesar de los esfuerzos colaborativos, persiste una falta de implementación de las recomendaciones para el tratamiento y una </w:t>
      </w:r>
      <w:r>
        <w:t>ausencia</w:t>
      </w:r>
      <w:r>
        <w:rPr>
          <w:rFonts w:asciiTheme="majorHAnsi" w:hAnsiTheme="majorHAnsi"/>
          <w:color w:val="000000"/>
          <w:shd w:val="clear" w:color="auto" w:fill="FFFFFF"/>
        </w:rPr>
        <w:t xml:space="preserve"> de directrices unificadas para luchar contra esta afección potencialmente mortal. La publicación resume la mejor evidencia disponible para la prevención y el tratamiento de la HPP. Los uterotónicos representan un elemento clave del arsenal disponible para salvar las vidas de las mujeres a través de la prevención o el tratamiento de la HPP.</w:t>
      </w:r>
    </w:p>
    <w:p w14:paraId="249BF34B" w14:textId="77777777" w:rsidR="005538EE" w:rsidRPr="00296EE3" w:rsidRDefault="005538EE" w:rsidP="005538EE">
      <w:pPr>
        <w:pStyle w:val="Heading1"/>
      </w:pPr>
      <w:r>
        <w:t>Hemorragia posparto: factores contribuyentes</w:t>
      </w:r>
    </w:p>
    <w:p w14:paraId="0DD15552" w14:textId="77777777" w:rsidR="005538EE" w:rsidRPr="005538EE" w:rsidRDefault="005538EE" w:rsidP="005538EE">
      <w:pPr>
        <w:rPr>
          <w:shd w:val="clear" w:color="auto" w:fill="FFFFFF"/>
        </w:rPr>
      </w:pPr>
      <w:r>
        <w:rPr>
          <w:shd w:val="clear" w:color="auto" w:fill="FFFFFF"/>
        </w:rPr>
        <w:t>La HPP es responsable de la muerte de 70 000 mujeres al año; la mayoría de esas muertes ocurre en África y Asia meridional.</w:t>
      </w:r>
      <w:r>
        <w:rPr>
          <w:color w:val="00AD86" w:themeColor="accent1"/>
          <w:shd w:val="clear" w:color="auto" w:fill="FFFFFF"/>
          <w:vertAlign w:val="superscript"/>
        </w:rPr>
        <w:t>2</w:t>
      </w:r>
      <w:r>
        <w:rPr>
          <w:shd w:val="clear" w:color="auto" w:fill="FFFFFF"/>
        </w:rPr>
        <w:t xml:space="preserve"> Se trata de una de las causas más comunes de muerte materna, independientemente de los ingresos o del ámbito de práctica. La anemia materna (que puede ocurrir como resultado de irregularidades menstruales, la dieta o afecciones crónicas subyacentes) es frecuente y es un factor de riesgo reconocido para la HPP.</w:t>
      </w:r>
      <w:r>
        <w:rPr>
          <w:color w:val="00AD86" w:themeColor="accent1"/>
          <w:shd w:val="clear" w:color="auto" w:fill="FFFFFF"/>
          <w:vertAlign w:val="superscript"/>
        </w:rPr>
        <w:t>3</w:t>
      </w:r>
      <w:r>
        <w:rPr>
          <w:shd w:val="clear" w:color="auto" w:fill="FFFFFF"/>
        </w:rPr>
        <w:t xml:space="preserve"> La FIGO entiende que las limitaciones históricas y en curso en cuanto al acceso a personal capacitado y recursos esenciales tales como sistemas de agua potable, dieta nutritiva, oportunidades educativas y prestación de atención médica, especialmente en lo concerniente a los trastornos menstruales, contribuyen a tasas más altas de anemia en determinadas comunidades.</w:t>
      </w:r>
      <w:r>
        <w:rPr>
          <w:color w:val="00AD86" w:themeColor="accent1"/>
          <w:shd w:val="clear" w:color="auto" w:fill="FFFFFF"/>
          <w:vertAlign w:val="superscript"/>
        </w:rPr>
        <w:t>4</w:t>
      </w:r>
      <w:r>
        <w:rPr>
          <w:shd w:val="clear" w:color="auto" w:fill="FFFFFF"/>
        </w:rPr>
        <w:t xml:space="preserve"> En todo el mundo, el 29,9 % de las mujeres en edad reproductiva son anémicas, pero los índices son significativamente más altos en África central y occidental, y en Asia meridional. Dentro de EE. UU. la prevalencia de anemia es más alta entre las mujeres de raza negra frente a las de otros grupos étnicos o raciales. Tales disparidades raciales pueden deberse, entre otras razones, a un riesgo mayor de deficiencia de nutrientes, una exposición más alta a las infecciones (incluido el VIH y la malaria) y niveles más bajos de acceso a la atención médica.</w:t>
      </w:r>
      <w:r>
        <w:rPr>
          <w:color w:val="00AD86" w:themeColor="accent1"/>
          <w:shd w:val="clear" w:color="auto" w:fill="FFFFFF"/>
          <w:vertAlign w:val="superscript"/>
        </w:rPr>
        <w:t>3</w:t>
      </w:r>
    </w:p>
    <w:p w14:paraId="32C2F2CC" w14:textId="77777777" w:rsidR="005538EE" w:rsidRPr="005538EE" w:rsidRDefault="005538EE" w:rsidP="005538EE">
      <w:pPr>
        <w:rPr>
          <w:shd w:val="clear" w:color="auto" w:fill="FFFFFF"/>
        </w:rPr>
      </w:pPr>
      <w:r>
        <w:rPr>
          <w:shd w:val="clear" w:color="auto" w:fill="FFFFFF"/>
        </w:rPr>
        <w:t>Otros factores importantes que contribuyen a la HPP incluyen las infecciones y los parásitos, así como las afecciones que dan lugar a distensión uterina, como el polihidramnios, la gestación múltiple o la placentación anormal. Asimismo, las afecciones que contribuyen a la atonía uterina (tales como las infecciones, los defectos de la coagulación y el uso del sulfato de magnesio) pueden aumentar el riesgo de HPP.</w:t>
      </w:r>
    </w:p>
    <w:p w14:paraId="7BE944F0" w14:textId="77777777" w:rsidR="005538EE" w:rsidRPr="005538EE" w:rsidRDefault="005538EE" w:rsidP="005538EE">
      <w:pPr>
        <w:rPr>
          <w:shd w:val="clear" w:color="auto" w:fill="FFFFFF"/>
        </w:rPr>
      </w:pPr>
      <w:r>
        <w:rPr>
          <w:shd w:val="clear" w:color="auto" w:fill="FFFFFF"/>
        </w:rPr>
        <w:t>La FIGO les recuerda a los médicos que reconozcan las causas más comunes de HPP al anticipar o evaluar el cuadro clínico. Como ayudamemoria, estas son tono, traumatismo, tejido y trombina.</w:t>
      </w:r>
      <w:r>
        <w:rPr>
          <w:color w:val="00AD86" w:themeColor="accent1"/>
          <w:shd w:val="clear" w:color="auto" w:fill="FFFFFF"/>
          <w:vertAlign w:val="superscript"/>
        </w:rPr>
        <w:t>1</w:t>
      </w:r>
      <w:r>
        <w:rPr>
          <w:shd w:val="clear" w:color="auto" w:fill="FFFFFF"/>
        </w:rPr>
        <w:t xml:space="preserve"> Los médicos deben darse cuenta de que cualquier tratamiento que evite las condiciones bajo las que tiene lugar la HPP es ideal y, por consiguiente, que reconocer o tratar los factores de riesgo es un requisito previo. Es importante tener en cuenta que la HPP se produce tanto en entornos de bajos recursos como en entornos de altos recursos. No obstante, las posibilidades de que una mujer muera por HPP es más alta en contextos de escasos recursos.</w:t>
      </w:r>
      <w:r>
        <w:rPr>
          <w:color w:val="00AD86" w:themeColor="accent1"/>
          <w:shd w:val="clear" w:color="auto" w:fill="FFFFFF"/>
          <w:vertAlign w:val="superscript"/>
        </w:rPr>
        <w:t>5</w:t>
      </w:r>
      <w:r>
        <w:rPr>
          <w:shd w:val="clear" w:color="auto" w:fill="FFFFFF"/>
        </w:rPr>
        <w:t xml:space="preserve"> Por ende, para que haya un </w:t>
      </w:r>
      <w:r>
        <w:rPr>
          <w:shd w:val="clear" w:color="auto" w:fill="FFFFFF"/>
        </w:rPr>
        <w:lastRenderedPageBreak/>
        <w:t xml:space="preserve">cambio sustancial, la HPP requiere tanto de la prevención como de una respuesta rápida y sistemática. </w:t>
      </w:r>
    </w:p>
    <w:p w14:paraId="5B828330" w14:textId="77777777" w:rsidR="005538EE" w:rsidRPr="005538EE" w:rsidRDefault="005538EE" w:rsidP="005538EE">
      <w:pPr>
        <w:pStyle w:val="Heading1"/>
      </w:pPr>
      <w:r>
        <w:t>Atonía uterina</w:t>
      </w:r>
    </w:p>
    <w:p w14:paraId="38EFB05D" w14:textId="77777777" w:rsidR="005538EE" w:rsidRPr="005538EE" w:rsidRDefault="005538EE" w:rsidP="005538EE">
      <w:pPr>
        <w:rPr>
          <w:shd w:val="clear" w:color="auto" w:fill="FFFFFF"/>
        </w:rPr>
      </w:pPr>
      <w:r>
        <w:rPr>
          <w:shd w:val="clear" w:color="auto" w:fill="FFFFFF"/>
        </w:rPr>
        <w:t>Mientras que, por definición, el diagnóstico y la prevalencia de la atonía uterina puede variar en los diferentes contextos, se estima que la atonía uterina o el tono uterino inadecuado</w:t>
      </w:r>
      <w:r>
        <w:rPr>
          <w:rFonts w:ascii="Roboto" w:hAnsi="Roboto"/>
          <w:color w:val="000000" w:themeColor="text1"/>
          <w:shd w:val="clear" w:color="auto" w:fill="FFFFFF"/>
        </w:rPr>
        <w:t xml:space="preserve"> causa del 70 al 80 % de las hemorragias posparto y, en la mayoría de los casos, debe sospecharse de ella en primer lugar en la etiología de la hemorragia posparto</w:t>
      </w:r>
      <w:r>
        <w:rPr>
          <w:color w:val="000000" w:themeColor="text1"/>
          <w:shd w:val="clear" w:color="auto" w:fill="FFFFFF"/>
        </w:rPr>
        <w:t>.</w:t>
      </w:r>
      <w:r>
        <w:rPr>
          <w:color w:val="00AD86" w:themeColor="accent1"/>
          <w:shd w:val="clear" w:color="auto" w:fill="FFFFFF"/>
          <w:vertAlign w:val="superscript"/>
        </w:rPr>
        <w:t>6</w:t>
      </w:r>
      <w:r>
        <w:rPr>
          <w:color w:val="000000" w:themeColor="text1"/>
          <w:shd w:val="clear" w:color="auto" w:fill="FFFFFF"/>
        </w:rPr>
        <w:t xml:space="preserve"> </w:t>
      </w:r>
      <w:r>
        <w:rPr>
          <w:shd w:val="clear" w:color="auto" w:fill="FFFFFF"/>
        </w:rPr>
        <w:t>Recientemente, algunos autores han cuestionado que la atonía uterina sea un factor causante de la HPP y han sugerido que la atonía uterina puede ser una "opinión" de los médicos tratantes, con una ausencia de evidencia científica en cuanto a que los uterotónicos tengan efecto alguno sobre la mortalidad materna.</w:t>
      </w:r>
      <w:r>
        <w:rPr>
          <w:color w:val="00AD86" w:themeColor="accent1"/>
          <w:shd w:val="clear" w:color="auto" w:fill="FFFFFF"/>
          <w:vertAlign w:val="superscript"/>
        </w:rPr>
        <w:t>7</w:t>
      </w:r>
      <w:r>
        <w:rPr>
          <w:shd w:val="clear" w:color="auto" w:fill="FFFFFF"/>
        </w:rPr>
        <w:t xml:space="preserve"> </w:t>
      </w:r>
    </w:p>
    <w:p w14:paraId="5E4DB726" w14:textId="77777777" w:rsidR="005538EE" w:rsidRPr="005538EE" w:rsidRDefault="005538EE" w:rsidP="005538EE">
      <w:r>
        <w:rPr>
          <w:shd w:val="clear" w:color="auto" w:fill="FFFFFF"/>
        </w:rPr>
        <w:t>Quisiéramos remitirlos a un metaanálisis que abarca cerca de 200 estudios y 136 000 mujeres que demostró que los uterotónicos reducen los índices de HPP durante los partos vaginales y por cesárea.</w:t>
      </w:r>
      <w:r>
        <w:rPr>
          <w:color w:val="00AD86" w:themeColor="accent1"/>
          <w:shd w:val="clear" w:color="auto" w:fill="FFFFFF"/>
          <w:vertAlign w:val="superscript"/>
        </w:rPr>
        <w:t>8</w:t>
      </w:r>
      <w:r>
        <w:rPr>
          <w:shd w:val="clear" w:color="auto" w:fill="FFFFFF"/>
        </w:rPr>
        <w:t xml:space="preserve"> </w:t>
      </w:r>
      <w:r>
        <w:t>Además, el reciente estudio E-MOTIVE de 80 hospitales y más de 200 000 mujeres en África reveló que la detección precoz de la HPP con un enfoque de paquete de tratamiento se tradujo en una reducción de la HPP y en menos muertes. Estos resultados se basaron en la medición de la pérdida de sangre y los tratamientos de primera respuesta rápida con masaje uterino, fármacos oxitócicos, ácido tranexámico, fluidos intravenosos, exploración y escalonamiento.</w:t>
      </w:r>
      <w:r>
        <w:rPr>
          <w:color w:val="00AD86" w:themeColor="accent1"/>
          <w:vertAlign w:val="superscript"/>
        </w:rPr>
        <w:t>9</w:t>
      </w:r>
      <w:r>
        <w:t xml:space="preserve"> </w:t>
      </w:r>
      <w:r>
        <w:rPr>
          <w:shd w:val="clear" w:color="auto" w:fill="FFFFFF"/>
        </w:rPr>
        <w:t>La posición de la FIGO es que no cabe duda de que los uterotónicos son esenciales y que estos deben ser parte integrante de un enfoque de paquete sistemático</w:t>
      </w:r>
      <w:r>
        <w:rPr>
          <w:color w:val="222222"/>
          <w:shd w:val="clear" w:color="auto" w:fill="FFFFFF"/>
        </w:rPr>
        <w:t>.</w:t>
      </w:r>
    </w:p>
    <w:p w14:paraId="66782510" w14:textId="77777777" w:rsidR="005538EE" w:rsidRPr="005538EE" w:rsidRDefault="005538EE" w:rsidP="005538EE">
      <w:pPr>
        <w:pStyle w:val="Heading1"/>
      </w:pPr>
      <w:r>
        <w:t>La necesidad de uterotónicos</w:t>
      </w:r>
    </w:p>
    <w:p w14:paraId="2A32C51C" w14:textId="77777777" w:rsidR="005538EE" w:rsidRPr="005538EE" w:rsidRDefault="005538EE" w:rsidP="005538EE">
      <w:r>
        <w:t xml:space="preserve">La FIGO propone un "enfoque de paquete" para el tratamiento de la HPP, en el cual los uterotónicos son un componente fundamental. Los factores de riesgo de la HPP se anticipan en este paquete de cuidados de seguridad, que recomienda preparación, reconocimiento, respuesta y notificación. El primer paso es la preparación, y el uso de uterotónicos para la tercera etapa del parto en todos los partos constituye un elemento importante. Si una mujer presenta HPP, se recomienda la implementación de un paquete de "primera respuesta" con uterotónicos, junto con </w:t>
      </w:r>
      <w:proofErr w:type="spellStart"/>
      <w:r>
        <w:t>criastaloides</w:t>
      </w:r>
      <w:proofErr w:type="spellEnd"/>
      <w:r>
        <w:t xml:space="preserve">, masaje uterino y ácido tranexámico, seguido de un paquete de "respuesta a la HPP refractaria" que continúe con los uterotónicos y el ácido tranexámico, pero que puede acompañarse con métodos de compresión y taponamiento uterino. </w:t>
      </w:r>
      <w:r>
        <w:rPr>
          <w:rFonts w:asciiTheme="minorHAnsi" w:hAnsiTheme="minorHAnsi"/>
          <w:color w:val="212121"/>
          <w:shd w:val="clear" w:color="auto" w:fill="FFFFFF"/>
        </w:rPr>
        <w:t xml:space="preserve">La HPP refractaria se define como una hemorragia que requiere intervenciones de segunda línea, que incluyen tres o más uterotónicos, la compresión uterina bimanual, el taponamiento uterino con balón/los dispositivos para el control de la hemorragia inducidos por vacío, o tratamientos quirúrgicos tales como la reparación de laceraciones cervicales o vaginales altas, la exploración de la cavidad uterina, los procedimientos quirúrgicos de </w:t>
      </w:r>
      <w:proofErr w:type="spellStart"/>
      <w:r>
        <w:rPr>
          <w:rFonts w:asciiTheme="minorHAnsi" w:hAnsiTheme="minorHAnsi"/>
          <w:color w:val="212121"/>
          <w:shd w:val="clear" w:color="auto" w:fill="FFFFFF"/>
        </w:rPr>
        <w:t>desvascularización</w:t>
      </w:r>
      <w:proofErr w:type="spellEnd"/>
      <w:r>
        <w:rPr>
          <w:rFonts w:asciiTheme="minorHAnsi" w:hAnsiTheme="minorHAnsi"/>
          <w:color w:val="212121"/>
          <w:shd w:val="clear" w:color="auto" w:fill="FFFFFF"/>
        </w:rPr>
        <w:t>, las suturas de compresión uterina o la histerectomía.</w:t>
      </w:r>
      <w:r>
        <w:rPr>
          <w:rFonts w:asciiTheme="minorHAnsi" w:hAnsiTheme="minorHAnsi"/>
          <w:color w:val="00AD86" w:themeColor="accent1"/>
          <w:shd w:val="clear" w:color="auto" w:fill="FFFFFF"/>
          <w:vertAlign w:val="superscript"/>
        </w:rPr>
        <w:t>10</w:t>
      </w:r>
    </w:p>
    <w:p w14:paraId="78C08508" w14:textId="77777777" w:rsidR="005538EE" w:rsidRPr="005538EE" w:rsidRDefault="005538EE" w:rsidP="005538EE">
      <w:pPr>
        <w:rPr>
          <w:rFonts w:asciiTheme="minorHAnsi" w:hAnsiTheme="minorHAnsi" w:cstheme="minorHAnsi"/>
        </w:rPr>
      </w:pPr>
      <w:r>
        <w:t>La FIGO y la Confederación Internacional de Matronas (ICM, por sus siglas en inglés) recientemente emitieron una declaración conjunta sobre el uso de uterotónicos durante el manejo activo de la tercera etapa del parto para prevenir la HPP y describieron las ventajas y desventajas de cada medicamento disponible.</w:t>
      </w:r>
      <w:r>
        <w:rPr>
          <w:color w:val="00AD86" w:themeColor="accent1"/>
          <w:vertAlign w:val="superscript"/>
        </w:rPr>
        <w:t>11</w:t>
      </w:r>
      <w:r>
        <w:t xml:space="preserve"> La declaración también abarcó la capacitación del personal de apoyo para los partos. </w:t>
      </w:r>
    </w:p>
    <w:p w14:paraId="0CBC7726" w14:textId="77777777" w:rsidR="005538EE" w:rsidRPr="00296EE3" w:rsidRDefault="005538EE" w:rsidP="005538EE">
      <w:pPr>
        <w:pStyle w:val="Heading1"/>
        <w:rPr>
          <w:color w:val="606060"/>
          <w:sz w:val="27"/>
          <w:szCs w:val="27"/>
        </w:rPr>
      </w:pPr>
      <w:r>
        <w:lastRenderedPageBreak/>
        <w:t xml:space="preserve">La postura de la FIGO con respecto al </w:t>
      </w:r>
      <w:r>
        <w:rPr>
          <w:sz w:val="28"/>
        </w:rPr>
        <w:t>tema</w:t>
      </w:r>
    </w:p>
    <w:p w14:paraId="3533AE5E" w14:textId="77777777" w:rsidR="005538EE" w:rsidRPr="005538EE" w:rsidRDefault="005538EE" w:rsidP="005538EE">
      <w:r>
        <w:t>Según la evidencia disponible actual, la mayoría de las veces la HPP es el resultado de la atonía uterina, y el uso de uterotónicos debe ser parte integral del paquete de cuidados. La detección y el tratamiento tempranos son fundamentales.</w:t>
      </w:r>
    </w:p>
    <w:p w14:paraId="1AB52384" w14:textId="77777777" w:rsidR="005538EE" w:rsidRPr="005538EE" w:rsidRDefault="005538EE" w:rsidP="005538EE">
      <w:r>
        <w:t>Debido a las complejidades de la HPP, los uterotónicos por sí solos pueden no ser suficientes. Los factores predisponentes para la HPP son además factores que contribuyen a una mortalidad materna más alta. Estos incluyen la anemia, la nutrición inadecuada, el escaso acceso a la cobertura sanitaria universal y las poblaciones marginadas por circunstancias sociales, raciales y económicas. Es esencial proporcionar una atención médica equitativa y preventiva durante el curso de la vida de las mujeres, desde la adolescencia y a través de los años reproductivos.</w:t>
      </w:r>
    </w:p>
    <w:p w14:paraId="322050DA" w14:textId="77777777" w:rsidR="005538EE" w:rsidRPr="005538EE" w:rsidRDefault="005538EE" w:rsidP="005538EE">
      <w:r>
        <w:rPr>
          <w:color w:val="000000"/>
          <w:shd w:val="clear" w:color="auto" w:fill="FFFFFF"/>
        </w:rPr>
        <w:t>La FIGO está dedicada a mejorar la salud y los derechos de la mujer, y a reducir disparidades en la atención médica disponible para las mujeres y los recién nacidos de todo el mundo. Como tal, la FIGO reconoce la influencia del racismo estructural sobre los índices diferenciados de anemia e incidencia de HPP y la necesidad urgente de abordar estos determinantes sociales como parte de un enfoque holístico de la salud de las mujeres.</w:t>
      </w:r>
    </w:p>
    <w:p w14:paraId="1CCA8321" w14:textId="77777777" w:rsidR="005538EE" w:rsidRPr="005B0141" w:rsidRDefault="005538EE" w:rsidP="005538EE">
      <w:pPr>
        <w:pStyle w:val="Heading1"/>
      </w:pPr>
      <w:r>
        <w:t>Recomendaciones de la FIGO</w:t>
      </w:r>
    </w:p>
    <w:p w14:paraId="20154ADA" w14:textId="77777777" w:rsidR="005538EE" w:rsidRPr="005538EE" w:rsidRDefault="005538EE" w:rsidP="005538EE">
      <w:pPr>
        <w:pStyle w:val="ListParagraph"/>
        <w:numPr>
          <w:ilvl w:val="0"/>
          <w:numId w:val="4"/>
        </w:numPr>
      </w:pPr>
      <w:r>
        <w:t>Todos los proveedores de atención médica deben tener buenos conocimientos sobre los factores que predisponen a la hemorragia posparto y sobre los grupos de pacientes de mayor riesgo, desde la atención médica antes del embarazo hasta el embarazo y el parto.</w:t>
      </w:r>
    </w:p>
    <w:p w14:paraId="6BE55A12" w14:textId="77777777" w:rsidR="005538EE" w:rsidRPr="005538EE" w:rsidRDefault="005538EE" w:rsidP="005538EE">
      <w:pPr>
        <w:pStyle w:val="ListParagraph"/>
        <w:numPr>
          <w:ilvl w:val="0"/>
          <w:numId w:val="4"/>
        </w:numPr>
      </w:pPr>
      <w:r>
        <w:t>La anemia debe ser tratada de forma proactiva con terapia con hierro, lo que incluye la consideración de una infusión intravenosa cuando los casos son moderados o graves.</w:t>
      </w:r>
    </w:p>
    <w:p w14:paraId="58BD4C50" w14:textId="77777777" w:rsidR="005538EE" w:rsidRPr="005538EE" w:rsidRDefault="005538EE" w:rsidP="005538EE">
      <w:pPr>
        <w:pStyle w:val="ListParagraph"/>
        <w:numPr>
          <w:ilvl w:val="0"/>
          <w:numId w:val="4"/>
        </w:numPr>
      </w:pPr>
      <w:r>
        <w:t>En cada parto y en cada centro de parto, debe implementarse un enfoque de paquete sistemático, que incluya preparación, reconocimiento, respuesta y notificación.</w:t>
      </w:r>
    </w:p>
    <w:p w14:paraId="712588EE" w14:textId="77777777" w:rsidR="005538EE" w:rsidRPr="005538EE" w:rsidRDefault="005538EE" w:rsidP="005538EE">
      <w:pPr>
        <w:pStyle w:val="ListParagraph"/>
        <w:numPr>
          <w:ilvl w:val="0"/>
          <w:numId w:val="4"/>
        </w:numPr>
      </w:pPr>
      <w:r>
        <w:t>Los elementos de E-MOTIVE deben ser adoptados de forma universal.</w:t>
      </w:r>
    </w:p>
    <w:p w14:paraId="4802F391" w14:textId="77777777" w:rsidR="005538EE" w:rsidRPr="005538EE" w:rsidRDefault="005538EE" w:rsidP="005538EE">
      <w:pPr>
        <w:pStyle w:val="ListParagraph"/>
        <w:numPr>
          <w:ilvl w:val="0"/>
          <w:numId w:val="4"/>
        </w:numPr>
      </w:pPr>
      <w:r>
        <w:t>Los médicos y centros que proporcionan atención al parto para las mujeres deben garantizar que se cuente con los procesos y suministros necesarios, y que se los mantenga de forma periódica para suministrar tanto medidas preventivas de rutina como medidas de respuesta de emergencia inmediata frente a la HPP.</w:t>
      </w:r>
    </w:p>
    <w:p w14:paraId="3446EB1A" w14:textId="77777777" w:rsidR="005538EE" w:rsidRPr="005538EE" w:rsidRDefault="005538EE" w:rsidP="005538EE">
      <w:pPr>
        <w:pStyle w:val="ListParagraph"/>
        <w:numPr>
          <w:ilvl w:val="0"/>
          <w:numId w:val="4"/>
        </w:numPr>
      </w:pPr>
      <w:r>
        <w:t>Todos los sistemas de salud y los médicos deben proporcionar una capacitación apropiada en cuanto a la prevención, el diagnóstico y el tratamiento de la HPP.</w:t>
      </w:r>
    </w:p>
    <w:p w14:paraId="1FB60DBA" w14:textId="77777777" w:rsidR="005538EE" w:rsidRPr="005538EE" w:rsidRDefault="005538EE" w:rsidP="005538EE">
      <w:pPr>
        <w:pStyle w:val="ListParagraph"/>
        <w:numPr>
          <w:ilvl w:val="0"/>
          <w:numId w:val="4"/>
        </w:numPr>
      </w:pPr>
      <w:r>
        <w:t>En todos los niveles existe un compromiso en cuanto a reconocer y resolver el racismo sistemático que tiene un impacto negativo en la prestación y los resultados de la asistencia.</w:t>
      </w:r>
    </w:p>
    <w:p w14:paraId="263964C6" w14:textId="52142EF8" w:rsidR="005538EE" w:rsidRPr="00296EE3" w:rsidRDefault="005538EE" w:rsidP="005538EE">
      <w:pPr>
        <w:pStyle w:val="Heading1"/>
        <w:tabs>
          <w:tab w:val="left" w:pos="5305"/>
        </w:tabs>
      </w:pPr>
      <w:r>
        <w:t>El compromiso de la FIGO</w:t>
      </w:r>
    </w:p>
    <w:p w14:paraId="02DBCF5C" w14:textId="77777777" w:rsidR="005538EE" w:rsidRPr="00296EE3" w:rsidRDefault="005538EE" w:rsidP="005538EE">
      <w:r>
        <w:t>La FIGO se compromete a apoyar y abogar en pro de la reducción de la morbilidad y mortalidad materna, y uno de los instrumentos es el uso exitoso y experto de los uterotónicos. La FIGO reconoce que salvar la vida de las mujeres requiere mejorar la salud y el bienestar de ellas a lo largo de toda su vida, con un enfoque del ciclo de vida. Para citar las recomendaciones del análisis de IJGO:</w:t>
      </w:r>
    </w:p>
    <w:p w14:paraId="45AE9E37" w14:textId="77777777" w:rsidR="005538EE" w:rsidRPr="005538EE" w:rsidRDefault="005538EE" w:rsidP="005538EE">
      <w:pPr>
        <w:pStyle w:val="ListParagraph"/>
        <w:numPr>
          <w:ilvl w:val="0"/>
          <w:numId w:val="4"/>
        </w:numPr>
      </w:pPr>
      <w:r>
        <w:lastRenderedPageBreak/>
        <w:t>La FIGO se esforzará en ejercer influencia y trabajar con otras organizaciones internacionales para reducir la morbilidad y mortalidad materna debido a la HPP.</w:t>
      </w:r>
    </w:p>
    <w:p w14:paraId="56F87AC0" w14:textId="77777777" w:rsidR="005538EE" w:rsidRPr="005538EE" w:rsidRDefault="005538EE" w:rsidP="005538EE">
      <w:pPr>
        <w:pStyle w:val="ListParagraph"/>
        <w:numPr>
          <w:ilvl w:val="0"/>
          <w:numId w:val="4"/>
        </w:numPr>
      </w:pPr>
      <w:r>
        <w:t>La FIGO trabajará con todas las sociedades nacionales en colaboración con el personal de enfermería y las comadronas para ejercer presión sobre sus respectivas organizaciones regionales y nacionales a fin de promover e implementar estas recomendaciones.</w:t>
      </w:r>
    </w:p>
    <w:p w14:paraId="1589EF45" w14:textId="77777777" w:rsidR="005538EE" w:rsidRPr="005538EE" w:rsidRDefault="005538EE" w:rsidP="005538EE">
      <w:pPr>
        <w:pStyle w:val="ListParagraph"/>
        <w:numPr>
          <w:ilvl w:val="0"/>
          <w:numId w:val="4"/>
        </w:numPr>
      </w:pPr>
      <w:r>
        <w:t>Todas las asociaciones de obstetricia y ginecología, conjuntamente con otras sociedades de atención médica, deben respaldar una estrategia orientada a la prevención y el tratamiento eficaces de la HPP.</w:t>
      </w:r>
    </w:p>
    <w:p w14:paraId="67ACE389" w14:textId="77777777" w:rsidR="005538EE" w:rsidRPr="005538EE" w:rsidRDefault="005538EE" w:rsidP="005538EE">
      <w:pPr>
        <w:pStyle w:val="ListParagraph"/>
        <w:numPr>
          <w:ilvl w:val="0"/>
          <w:numId w:val="4"/>
        </w:numPr>
      </w:pPr>
      <w:r>
        <w:t>Todas las asociaciones nacionales deben hacer presión con sus gobiernos nacionales locales para establecer un enfoque de paquete para la HPP y para hacer que los suministros médicos y los equipos quirúrgicos necesarios para el tratamiento de la HPP estén fácilmente disponibles en todas las regiones de los diferentes países.</w:t>
      </w:r>
    </w:p>
    <w:p w14:paraId="6EA1E4D2" w14:textId="77777777" w:rsidR="005538EE" w:rsidRPr="005538EE" w:rsidRDefault="005538EE" w:rsidP="005538EE">
      <w:pPr>
        <w:pStyle w:val="ListParagraph"/>
        <w:numPr>
          <w:ilvl w:val="0"/>
          <w:numId w:val="4"/>
        </w:numPr>
      </w:pPr>
      <w:r>
        <w:t>Todos los sistemas sanitarios tienen la obligación de proporcionar una atención respetuosa a la mujer, el bebé y la familia. Los sistemas de salud deben suministrar medicamentos, agua, oxígeno, equipos, capacitación y mecanismos de transferencia eficaces y apropiados para reducir la morbilidad y mortalidad materna.</w:t>
      </w:r>
    </w:p>
    <w:p w14:paraId="53D43543" w14:textId="77777777" w:rsidR="005538EE" w:rsidRPr="005538EE" w:rsidRDefault="005538EE" w:rsidP="005538EE">
      <w:pPr>
        <w:rPr>
          <w:rFonts w:eastAsia="Arial"/>
        </w:rPr>
      </w:pPr>
      <w:r>
        <w:t>La FIGO cumplirá estos compromisos a través de:</w:t>
      </w:r>
    </w:p>
    <w:p w14:paraId="0F0C379D" w14:textId="77777777" w:rsidR="005538EE" w:rsidRPr="005538EE" w:rsidRDefault="005538EE" w:rsidP="005538EE">
      <w:pPr>
        <w:pStyle w:val="ListParagraph"/>
        <w:numPr>
          <w:ilvl w:val="0"/>
          <w:numId w:val="4"/>
        </w:numPr>
      </w:pPr>
      <w:r>
        <w:t>el desarrollo y la divulgación de recursos sobre los uterotónicos (incluida la complejidad de la prevención y el tratamiento de la HPP) para los profesionales de la salud;</w:t>
      </w:r>
    </w:p>
    <w:p w14:paraId="62BE4791" w14:textId="77777777" w:rsidR="005538EE" w:rsidRPr="005538EE" w:rsidRDefault="005538EE" w:rsidP="005538EE">
      <w:pPr>
        <w:pStyle w:val="ListParagraph"/>
        <w:numPr>
          <w:ilvl w:val="0"/>
          <w:numId w:val="4"/>
        </w:numPr>
      </w:pPr>
      <w:r>
        <w:t>la influencia sobre los sistemas de salud, los responsables de políticas y los proveedores. a fin de asegurar que estos conozcan el impacto que tienen la atención de la salud pregestacional y del embarazo sobre la salud de sus poblaciones;</w:t>
      </w:r>
    </w:p>
    <w:p w14:paraId="38CC7518" w14:textId="77777777" w:rsidR="005538EE" w:rsidRPr="005538EE" w:rsidRDefault="005538EE" w:rsidP="005538EE">
      <w:pPr>
        <w:pStyle w:val="ListParagraph"/>
        <w:numPr>
          <w:ilvl w:val="0"/>
          <w:numId w:val="4"/>
        </w:numPr>
      </w:pPr>
      <w:r>
        <w:t>la defensa del desarrollo de capacidades de apoyo, para los ginecólogos, los obstetras, los proveedores de salud de primera línea y los educadores en materia de parto;</w:t>
      </w:r>
    </w:p>
    <w:p w14:paraId="16B4F762" w14:textId="77777777" w:rsidR="005538EE" w:rsidRPr="005538EE" w:rsidRDefault="005538EE" w:rsidP="005538EE">
      <w:pPr>
        <w:pStyle w:val="ListParagraph"/>
        <w:numPr>
          <w:ilvl w:val="0"/>
          <w:numId w:val="4"/>
        </w:numPr>
      </w:pPr>
      <w:r>
        <w:t>la defensa de los recursos que apoyan la recopilación de datos y los mecanismos de supervisión a nivel institucional y de país para evaluar y monitorizar las prácticas de tratamiento y los índices de HPP;</w:t>
      </w:r>
    </w:p>
    <w:p w14:paraId="37832007" w14:textId="77777777" w:rsidR="005538EE" w:rsidRPr="005538EE" w:rsidRDefault="005538EE" w:rsidP="005538EE">
      <w:pPr>
        <w:pStyle w:val="ListParagraph"/>
        <w:numPr>
          <w:ilvl w:val="0"/>
          <w:numId w:val="4"/>
        </w:numPr>
      </w:pPr>
      <w:r>
        <w:t>la defensa de una atención respetuosa y segura, lo cual incluye abordar y luchar contra el racismo sistemático.</w:t>
      </w:r>
    </w:p>
    <w:p w14:paraId="5B242579" w14:textId="5B54117B" w:rsidR="002F4DF6" w:rsidRPr="00BB14A5" w:rsidRDefault="004420B8" w:rsidP="004420B8">
      <w:pPr>
        <w:pStyle w:val="Heading1"/>
        <w:spacing w:after="0"/>
        <w:sectPr w:rsidR="002F4DF6" w:rsidRPr="00BB14A5" w:rsidSect="0081328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701" w:right="1134" w:bottom="851" w:left="1134" w:header="1418" w:footer="567" w:gutter="0"/>
          <w:cols w:space="720"/>
          <w:formProt w:val="0"/>
          <w:docGrid w:linePitch="299" w:charSpace="-6145"/>
        </w:sectPr>
      </w:pPr>
      <w:proofErr w:type="spellStart"/>
      <w:r w:rsidRPr="00BB14A5">
        <w:rPr>
          <w:lang w:val="en-US"/>
        </w:rPr>
        <w:t>Referencias</w:t>
      </w:r>
      <w:proofErr w:type="spellEnd"/>
    </w:p>
    <w:p w14:paraId="6B366F02" w14:textId="77777777" w:rsidR="001B5FA2" w:rsidRPr="00BB14A5" w:rsidRDefault="001B5FA2" w:rsidP="001B5FA2">
      <w:pPr>
        <w:pStyle w:val="ListParagraph"/>
        <w:numPr>
          <w:ilvl w:val="0"/>
          <w:numId w:val="10"/>
        </w:numPr>
        <w:rPr>
          <w:rStyle w:val="Hyperlink"/>
          <w:rFonts w:asciiTheme="minorHAnsi" w:hAnsiTheme="minorHAnsi" w:cstheme="minorHAnsi"/>
          <w:color w:val="auto"/>
          <w:shd w:val="clear" w:color="auto" w:fill="FFFFFF"/>
        </w:rPr>
      </w:pPr>
      <w:r w:rsidRPr="00BB14A5">
        <w:rPr>
          <w:rFonts w:asciiTheme="minorHAnsi" w:eastAsia="SimSun" w:hAnsiTheme="minorHAnsi" w:cstheme="minorHAnsi"/>
        </w:rPr>
        <w:fldChar w:fldCharType="begin"/>
      </w:r>
      <w:r w:rsidRPr="00BB14A5">
        <w:rPr>
          <w:rFonts w:asciiTheme="minorHAnsi" w:hAnsiTheme="minorHAnsi" w:cstheme="minorHAnsi"/>
        </w:rPr>
        <w:instrText xml:space="preserve"> ADDIN EN.REFLIST </w:instrText>
      </w:r>
      <w:r w:rsidRPr="00BB14A5">
        <w:rPr>
          <w:rFonts w:asciiTheme="minorHAnsi" w:eastAsia="SimSun" w:hAnsiTheme="minorHAnsi" w:cstheme="minorHAnsi"/>
        </w:rPr>
        <w:fldChar w:fldCharType="separate"/>
      </w:r>
      <w:r w:rsidRPr="00BB14A5">
        <w:rPr>
          <w:rStyle w:val="author"/>
          <w:rFonts w:asciiTheme="minorHAnsi" w:hAnsiTheme="minorHAnsi" w:cstheme="minorHAnsi"/>
          <w:shd w:val="clear" w:color="auto" w:fill="FFFFFF"/>
        </w:rPr>
        <w:t>Escobar, MF</w:t>
      </w:r>
      <w:r w:rsidRPr="00BB14A5">
        <w:rPr>
          <w:rFonts w:asciiTheme="minorHAnsi" w:hAnsiTheme="minorHAnsi" w:cstheme="minorHAnsi"/>
          <w:shd w:val="clear" w:color="auto" w:fill="FFFFFF"/>
        </w:rPr>
        <w:t>, </w:t>
      </w:r>
      <w:r w:rsidRPr="00BB14A5">
        <w:rPr>
          <w:rStyle w:val="author"/>
          <w:rFonts w:asciiTheme="minorHAnsi" w:hAnsiTheme="minorHAnsi" w:cstheme="minorHAnsi"/>
          <w:shd w:val="clear" w:color="auto" w:fill="FFFFFF"/>
        </w:rPr>
        <w:t>Nassar, AH</w:t>
      </w:r>
      <w:r w:rsidRPr="00BB14A5">
        <w:rPr>
          <w:rFonts w:asciiTheme="minorHAnsi" w:hAnsiTheme="minorHAnsi" w:cstheme="minorHAnsi"/>
          <w:shd w:val="clear" w:color="auto" w:fill="FFFFFF"/>
        </w:rPr>
        <w:t>, </w:t>
      </w:r>
      <w:r w:rsidRPr="00BB14A5">
        <w:rPr>
          <w:rStyle w:val="author"/>
          <w:rFonts w:asciiTheme="minorHAnsi" w:hAnsiTheme="minorHAnsi" w:cstheme="minorHAnsi"/>
          <w:shd w:val="clear" w:color="auto" w:fill="FFFFFF"/>
        </w:rPr>
        <w:t>Theron, G</w:t>
      </w:r>
      <w:r w:rsidRPr="00BB14A5">
        <w:rPr>
          <w:rFonts w:asciiTheme="minorHAnsi" w:hAnsiTheme="minorHAnsi" w:cstheme="minorHAnsi"/>
          <w:shd w:val="clear" w:color="auto" w:fill="FFFFFF"/>
        </w:rPr>
        <w:t> et al. </w:t>
      </w:r>
      <w:r w:rsidRPr="00BB14A5">
        <w:rPr>
          <w:rStyle w:val="articletitle"/>
          <w:rFonts w:asciiTheme="minorHAnsi" w:hAnsiTheme="minorHAnsi" w:cstheme="minorHAnsi"/>
          <w:shd w:val="clear" w:color="auto" w:fill="FFFFFF"/>
          <w:lang w:val="en-US"/>
        </w:rPr>
        <w:t>FIGO recommendations on the management of postpartum hemorrhage 2022</w:t>
      </w:r>
      <w:r w:rsidRPr="00BB14A5">
        <w:rPr>
          <w:rFonts w:asciiTheme="minorHAnsi" w:hAnsiTheme="minorHAnsi" w:cstheme="minorHAnsi"/>
          <w:shd w:val="clear" w:color="auto" w:fill="FFFFFF"/>
          <w:lang w:val="en-US"/>
        </w:rPr>
        <w:t>. </w:t>
      </w:r>
      <w:proofErr w:type="spellStart"/>
      <w:r w:rsidRPr="00BB14A5">
        <w:rPr>
          <w:rFonts w:asciiTheme="minorHAnsi" w:hAnsiTheme="minorHAnsi" w:cstheme="minorHAnsi"/>
          <w:i/>
          <w:shd w:val="clear" w:color="auto" w:fill="FFFFFF"/>
        </w:rPr>
        <w:t>Int</w:t>
      </w:r>
      <w:proofErr w:type="spellEnd"/>
      <w:r w:rsidRPr="00BB14A5">
        <w:rPr>
          <w:rFonts w:asciiTheme="minorHAnsi" w:hAnsiTheme="minorHAnsi" w:cstheme="minorHAnsi"/>
          <w:i/>
          <w:shd w:val="clear" w:color="auto" w:fill="FFFFFF"/>
        </w:rPr>
        <w:t xml:space="preserve"> J </w:t>
      </w:r>
      <w:proofErr w:type="spellStart"/>
      <w:r w:rsidRPr="00BB14A5">
        <w:rPr>
          <w:rFonts w:asciiTheme="minorHAnsi" w:hAnsiTheme="minorHAnsi" w:cstheme="minorHAnsi"/>
          <w:i/>
          <w:shd w:val="clear" w:color="auto" w:fill="FFFFFF"/>
        </w:rPr>
        <w:t>Gynecol</w:t>
      </w:r>
      <w:proofErr w:type="spellEnd"/>
      <w:r w:rsidRPr="00BB14A5">
        <w:rPr>
          <w:rFonts w:asciiTheme="minorHAnsi" w:hAnsiTheme="minorHAnsi" w:cstheme="minorHAnsi"/>
          <w:i/>
          <w:shd w:val="clear" w:color="auto" w:fill="FFFFFF"/>
        </w:rPr>
        <w:t xml:space="preserve"> </w:t>
      </w:r>
      <w:proofErr w:type="spellStart"/>
      <w:r w:rsidRPr="00BB14A5">
        <w:rPr>
          <w:rFonts w:asciiTheme="minorHAnsi" w:hAnsiTheme="minorHAnsi" w:cstheme="minorHAnsi"/>
          <w:i/>
          <w:shd w:val="clear" w:color="auto" w:fill="FFFFFF"/>
        </w:rPr>
        <w:t>Obstet</w:t>
      </w:r>
      <w:proofErr w:type="spellEnd"/>
      <w:r w:rsidRPr="00BB14A5">
        <w:rPr>
          <w:rFonts w:asciiTheme="minorHAnsi" w:hAnsiTheme="minorHAnsi" w:cstheme="minorHAnsi"/>
          <w:shd w:val="clear" w:color="auto" w:fill="FFFFFF"/>
        </w:rPr>
        <w:t>. </w:t>
      </w:r>
      <w:r w:rsidRPr="00BB14A5">
        <w:rPr>
          <w:rStyle w:val="pubyear"/>
          <w:rFonts w:asciiTheme="minorHAnsi" w:hAnsiTheme="minorHAnsi" w:cstheme="minorHAnsi"/>
          <w:shd w:val="clear" w:color="auto" w:fill="FFFFFF"/>
        </w:rPr>
        <w:t>2022</w:t>
      </w:r>
      <w:r w:rsidRPr="00BB14A5">
        <w:rPr>
          <w:rFonts w:asciiTheme="minorHAnsi" w:hAnsiTheme="minorHAnsi" w:cstheme="minorHAnsi"/>
          <w:shd w:val="clear" w:color="auto" w:fill="FFFFFF"/>
        </w:rPr>
        <w:t>; </w:t>
      </w:r>
      <w:r w:rsidRPr="00BB14A5">
        <w:rPr>
          <w:rStyle w:val="vol"/>
          <w:rFonts w:asciiTheme="minorHAnsi" w:hAnsiTheme="minorHAnsi" w:cstheme="minorHAnsi"/>
          <w:shd w:val="clear" w:color="auto" w:fill="FFFFFF"/>
        </w:rPr>
        <w:t>157(</w:t>
      </w:r>
      <w:proofErr w:type="spellStart"/>
      <w:r w:rsidRPr="00BB14A5">
        <w:rPr>
          <w:rStyle w:val="vol"/>
          <w:rFonts w:asciiTheme="minorHAnsi" w:hAnsiTheme="minorHAnsi" w:cstheme="minorHAnsi"/>
          <w:shd w:val="clear" w:color="auto" w:fill="FFFFFF"/>
        </w:rPr>
        <w:t>Suppl</w:t>
      </w:r>
      <w:proofErr w:type="spellEnd"/>
      <w:r w:rsidRPr="00BB14A5">
        <w:rPr>
          <w:rStyle w:val="vol"/>
          <w:rFonts w:asciiTheme="minorHAnsi" w:hAnsiTheme="minorHAnsi" w:cstheme="minorHAnsi"/>
          <w:shd w:val="clear" w:color="auto" w:fill="FFFFFF"/>
        </w:rPr>
        <w:t>. 1)</w:t>
      </w:r>
      <w:r w:rsidRPr="00BB14A5">
        <w:rPr>
          <w:rFonts w:asciiTheme="minorHAnsi" w:hAnsiTheme="minorHAnsi" w:cstheme="minorHAnsi"/>
          <w:shd w:val="clear" w:color="auto" w:fill="FFFFFF"/>
        </w:rPr>
        <w:t>: </w:t>
      </w:r>
      <w:r w:rsidRPr="00BB14A5">
        <w:rPr>
          <w:rStyle w:val="pagefirst"/>
          <w:rFonts w:asciiTheme="minorHAnsi" w:hAnsiTheme="minorHAnsi" w:cstheme="minorHAnsi"/>
          <w:shd w:val="clear" w:color="auto" w:fill="FFFFFF"/>
        </w:rPr>
        <w:t>3</w:t>
      </w:r>
      <w:r w:rsidRPr="00BB14A5">
        <w:rPr>
          <w:rFonts w:asciiTheme="minorHAnsi" w:hAnsiTheme="minorHAnsi" w:cstheme="minorHAnsi"/>
          <w:shd w:val="clear" w:color="auto" w:fill="FFFFFF"/>
        </w:rPr>
        <w:t>–</w:t>
      </w:r>
      <w:r w:rsidRPr="00BB14A5">
        <w:rPr>
          <w:rStyle w:val="pagelast"/>
          <w:rFonts w:asciiTheme="minorHAnsi" w:hAnsiTheme="minorHAnsi" w:cstheme="minorHAnsi"/>
          <w:shd w:val="clear" w:color="auto" w:fill="FFFFFF"/>
        </w:rPr>
        <w:t>50</w:t>
      </w:r>
      <w:r w:rsidRPr="00BB14A5">
        <w:rPr>
          <w:rFonts w:asciiTheme="minorHAnsi" w:hAnsiTheme="minorHAnsi" w:cstheme="minorHAnsi"/>
          <w:shd w:val="clear" w:color="auto" w:fill="FFFFFF"/>
        </w:rPr>
        <w:t>. doi:</w:t>
      </w:r>
      <w:hyperlink r:id="rId17" w:history="1">
        <w:r w:rsidRPr="00BB14A5">
          <w:rPr>
            <w:rStyle w:val="Hyperlink"/>
            <w:rFonts w:asciiTheme="minorHAnsi" w:hAnsiTheme="minorHAnsi" w:cstheme="minorHAnsi"/>
            <w:color w:val="auto"/>
            <w:u w:val="none"/>
            <w:shd w:val="clear" w:color="auto" w:fill="FFFFFF"/>
          </w:rPr>
          <w:t>10.1002/ijgo.14116</w:t>
        </w:r>
      </w:hyperlink>
    </w:p>
    <w:p w14:paraId="224D8B67" w14:textId="77777777" w:rsidR="001B5FA2" w:rsidRPr="00BB14A5" w:rsidRDefault="001B5FA2" w:rsidP="001B5FA2">
      <w:pPr>
        <w:pStyle w:val="ListParagraph"/>
        <w:numPr>
          <w:ilvl w:val="0"/>
          <w:numId w:val="10"/>
        </w:numPr>
        <w:rPr>
          <w:rStyle w:val="Hyperlink"/>
          <w:rFonts w:asciiTheme="minorHAnsi" w:hAnsiTheme="minorHAnsi" w:cstheme="minorHAnsi"/>
          <w:color w:val="auto"/>
          <w:u w:val="none"/>
          <w:shd w:val="clear" w:color="auto" w:fill="FFFFFF"/>
        </w:rPr>
      </w:pPr>
      <w:r w:rsidRPr="00BB14A5">
        <w:rPr>
          <w:rStyle w:val="Hyperlink"/>
          <w:rFonts w:asciiTheme="minorHAnsi" w:hAnsiTheme="minorHAnsi" w:cstheme="minorHAnsi"/>
          <w:color w:val="auto"/>
          <w:u w:val="none"/>
          <w:shd w:val="clear" w:color="auto" w:fill="FFFFFF"/>
          <w:lang w:val="en-US"/>
        </w:rPr>
        <w:t xml:space="preserve">WHO postpartum </w:t>
      </w:r>
      <w:proofErr w:type="spellStart"/>
      <w:r w:rsidRPr="00BB14A5">
        <w:rPr>
          <w:rStyle w:val="Hyperlink"/>
          <w:rFonts w:asciiTheme="minorHAnsi" w:hAnsiTheme="minorHAnsi" w:cstheme="minorHAnsi"/>
          <w:color w:val="auto"/>
          <w:u w:val="none"/>
          <w:shd w:val="clear" w:color="auto" w:fill="FFFFFF"/>
          <w:lang w:val="en-US"/>
        </w:rPr>
        <w:t>haemorrhage</w:t>
      </w:r>
      <w:proofErr w:type="spellEnd"/>
      <w:r w:rsidRPr="00BB14A5">
        <w:rPr>
          <w:rStyle w:val="Hyperlink"/>
          <w:rFonts w:asciiTheme="minorHAnsi" w:hAnsiTheme="minorHAnsi" w:cstheme="minorHAnsi"/>
          <w:color w:val="auto"/>
          <w:u w:val="none"/>
          <w:shd w:val="clear" w:color="auto" w:fill="FFFFFF"/>
          <w:lang w:val="en-US"/>
        </w:rPr>
        <w:t xml:space="preserve"> (PPH) summit. </w:t>
      </w:r>
      <w:proofErr w:type="spellStart"/>
      <w:r w:rsidRPr="00BB14A5">
        <w:rPr>
          <w:rStyle w:val="Hyperlink"/>
          <w:rFonts w:asciiTheme="minorHAnsi" w:hAnsiTheme="minorHAnsi" w:cstheme="minorHAnsi"/>
          <w:color w:val="auto"/>
          <w:u w:val="none"/>
          <w:shd w:val="clear" w:color="auto" w:fill="FFFFFF"/>
        </w:rPr>
        <w:t>September</w:t>
      </w:r>
      <w:proofErr w:type="spellEnd"/>
      <w:r w:rsidRPr="00BB14A5">
        <w:rPr>
          <w:rStyle w:val="Hyperlink"/>
          <w:rFonts w:asciiTheme="minorHAnsi" w:hAnsiTheme="minorHAnsi" w:cstheme="minorHAnsi"/>
          <w:color w:val="auto"/>
          <w:u w:val="none"/>
          <w:shd w:val="clear" w:color="auto" w:fill="FFFFFF"/>
        </w:rPr>
        <w:t xml:space="preserve"> 29, 2022. https://www.who.int/publications/m/item/who-postpartum-haemorrhage-(pph)-summit.</w:t>
      </w:r>
    </w:p>
    <w:p w14:paraId="46CEEDC3" w14:textId="77777777" w:rsidR="00B0688E" w:rsidRPr="00BB14A5" w:rsidRDefault="001B5FA2" w:rsidP="0004326E">
      <w:pPr>
        <w:pStyle w:val="ListParagraph"/>
        <w:numPr>
          <w:ilvl w:val="0"/>
          <w:numId w:val="10"/>
        </w:numPr>
        <w:rPr>
          <w:rStyle w:val="Hyperlink"/>
          <w:rFonts w:asciiTheme="minorHAnsi" w:hAnsiTheme="minorHAnsi" w:cstheme="minorHAnsi"/>
          <w:color w:val="auto"/>
          <w:u w:val="none"/>
        </w:rPr>
      </w:pPr>
      <w:r w:rsidRPr="00BB14A5">
        <w:rPr>
          <w:rStyle w:val="Hyperlink"/>
          <w:rFonts w:asciiTheme="minorHAnsi" w:hAnsiTheme="minorHAnsi" w:cstheme="minorHAnsi"/>
          <w:color w:val="auto"/>
          <w:u w:val="none"/>
          <w:shd w:val="clear" w:color="auto" w:fill="FFFFFF"/>
        </w:rPr>
        <w:t>FIGO</w:t>
      </w:r>
      <w:r w:rsidR="00B0688E" w:rsidRPr="00BB14A5">
        <w:t xml:space="preserve"> </w:t>
      </w:r>
      <w:r w:rsidR="00B0688E" w:rsidRPr="00BB14A5">
        <w:rPr>
          <w:rStyle w:val="Hyperlink"/>
          <w:rFonts w:asciiTheme="minorHAnsi" w:hAnsiTheme="minorHAnsi" w:cstheme="minorHAnsi"/>
          <w:color w:val="auto"/>
          <w:u w:val="none"/>
          <w:shd w:val="clear" w:color="auto" w:fill="FFFFFF"/>
        </w:rPr>
        <w:t>La ferropenia y la anemia en las mujeres y las niñas</w:t>
      </w:r>
      <w:r w:rsidRPr="00BB14A5">
        <w:rPr>
          <w:rStyle w:val="Hyperlink"/>
          <w:rFonts w:asciiTheme="minorHAnsi" w:hAnsiTheme="minorHAnsi" w:cstheme="minorHAnsi"/>
          <w:color w:val="auto"/>
          <w:u w:val="none"/>
          <w:shd w:val="clear" w:color="auto" w:fill="FFFFFF"/>
        </w:rPr>
        <w:t xml:space="preserve">. </w:t>
      </w:r>
      <w:r w:rsidR="00B0688E" w:rsidRPr="00BB14A5">
        <w:rPr>
          <w:rStyle w:val="Hyperlink"/>
          <w:rFonts w:asciiTheme="minorHAnsi" w:hAnsiTheme="minorHAnsi" w:cstheme="minorHAnsi"/>
          <w:color w:val="auto"/>
          <w:u w:val="none"/>
          <w:shd w:val="clear" w:color="auto" w:fill="FFFFFF"/>
        </w:rPr>
        <w:t xml:space="preserve">https://www.figo.org/es/resources/figo-statements/iron-deficiency-and-anaemia-women-and-girls </w:t>
      </w:r>
    </w:p>
    <w:p w14:paraId="05115E93" w14:textId="142ABE30" w:rsidR="001B5FA2" w:rsidRPr="00BB14A5" w:rsidRDefault="001B5FA2" w:rsidP="0004326E">
      <w:pPr>
        <w:pStyle w:val="ListParagraph"/>
        <w:numPr>
          <w:ilvl w:val="0"/>
          <w:numId w:val="10"/>
        </w:numPr>
        <w:rPr>
          <w:rStyle w:val="Hyperlink"/>
          <w:rFonts w:asciiTheme="minorHAnsi" w:hAnsiTheme="minorHAnsi" w:cstheme="minorHAnsi"/>
          <w:color w:val="auto"/>
          <w:u w:val="none"/>
        </w:rPr>
      </w:pPr>
      <w:r w:rsidRPr="00BB14A5">
        <w:rPr>
          <w:rFonts w:asciiTheme="minorHAnsi" w:hAnsiTheme="minorHAnsi" w:cstheme="minorHAnsi"/>
        </w:rPr>
        <w:t>An Analysis of Societal Determinant of Anemia among Adolescent Girls in Azad Jammu and Kashmir, Pakistan (N. Habib et al, 2020) doi: </w:t>
      </w:r>
      <w:hyperlink r:id="rId18" w:history="1">
        <w:r w:rsidRPr="00BB14A5">
          <w:rPr>
            <w:rFonts w:asciiTheme="minorHAnsi" w:hAnsiTheme="minorHAnsi" w:cstheme="minorHAnsi"/>
            <w:u w:val="single" w:color="094FD1"/>
          </w:rPr>
          <w:t>10.1155/2020/1628357</w:t>
        </w:r>
      </w:hyperlink>
    </w:p>
    <w:p w14:paraId="0665DD96" w14:textId="77777777" w:rsidR="001B5FA2" w:rsidRPr="00BB14A5" w:rsidRDefault="001B5FA2" w:rsidP="001B5FA2">
      <w:pPr>
        <w:pStyle w:val="ListParagraph"/>
        <w:numPr>
          <w:ilvl w:val="0"/>
          <w:numId w:val="10"/>
        </w:numPr>
        <w:rPr>
          <w:rFonts w:asciiTheme="minorHAnsi" w:hAnsiTheme="minorHAnsi" w:cstheme="minorHAnsi"/>
        </w:rPr>
      </w:pPr>
      <w:r w:rsidRPr="00BB14A5">
        <w:rPr>
          <w:rFonts w:asciiTheme="minorHAnsi" w:hAnsiTheme="minorHAnsi" w:cstheme="minorHAnsi"/>
          <w:lang w:val="en-US"/>
        </w:rPr>
        <w:t xml:space="preserve">The WOMAN-2 trial collaborators. Maternal </w:t>
      </w:r>
      <w:proofErr w:type="spellStart"/>
      <w:r w:rsidRPr="00BB14A5">
        <w:rPr>
          <w:rFonts w:asciiTheme="minorHAnsi" w:hAnsiTheme="minorHAnsi" w:cstheme="minorHAnsi"/>
          <w:lang w:val="en-US"/>
        </w:rPr>
        <w:t>anaemia</w:t>
      </w:r>
      <w:proofErr w:type="spellEnd"/>
      <w:r w:rsidRPr="00BB14A5">
        <w:rPr>
          <w:rFonts w:asciiTheme="minorHAnsi" w:hAnsiTheme="minorHAnsi" w:cstheme="minorHAnsi"/>
          <w:lang w:val="en-US"/>
        </w:rPr>
        <w:t xml:space="preserve"> and the risk of postpartum </w:t>
      </w:r>
      <w:proofErr w:type="spellStart"/>
      <w:r w:rsidRPr="00BB14A5">
        <w:rPr>
          <w:rFonts w:asciiTheme="minorHAnsi" w:hAnsiTheme="minorHAnsi" w:cstheme="minorHAnsi"/>
          <w:lang w:val="en-US"/>
        </w:rPr>
        <w:t>haemorrhage</w:t>
      </w:r>
      <w:proofErr w:type="spellEnd"/>
      <w:r w:rsidRPr="00BB14A5">
        <w:rPr>
          <w:rFonts w:asciiTheme="minorHAnsi" w:hAnsiTheme="minorHAnsi" w:cstheme="minorHAnsi"/>
          <w:lang w:val="en-US"/>
        </w:rPr>
        <w:t xml:space="preserve">: a cohort analysis of data from the WOMAN-2 trial. </w:t>
      </w:r>
      <w:r w:rsidRPr="00BB14A5">
        <w:rPr>
          <w:rFonts w:asciiTheme="minorHAnsi" w:hAnsiTheme="minorHAnsi" w:cstheme="minorHAnsi"/>
        </w:rPr>
        <w:t xml:space="preserve">Lancet </w:t>
      </w:r>
      <w:proofErr w:type="spellStart"/>
      <w:r w:rsidRPr="00BB14A5">
        <w:rPr>
          <w:rFonts w:asciiTheme="minorHAnsi" w:hAnsiTheme="minorHAnsi" w:cstheme="minorHAnsi"/>
        </w:rPr>
        <w:t>Glob</w:t>
      </w:r>
      <w:proofErr w:type="spellEnd"/>
      <w:r w:rsidRPr="00BB14A5">
        <w:rPr>
          <w:rFonts w:asciiTheme="minorHAnsi" w:hAnsiTheme="minorHAnsi" w:cstheme="minorHAnsi"/>
        </w:rPr>
        <w:t xml:space="preserve"> </w:t>
      </w:r>
      <w:proofErr w:type="spellStart"/>
      <w:r w:rsidRPr="00BB14A5">
        <w:rPr>
          <w:rFonts w:asciiTheme="minorHAnsi" w:hAnsiTheme="minorHAnsi" w:cstheme="minorHAnsi"/>
        </w:rPr>
        <w:t>Health</w:t>
      </w:r>
      <w:proofErr w:type="spellEnd"/>
      <w:r w:rsidRPr="00BB14A5">
        <w:rPr>
          <w:rFonts w:asciiTheme="minorHAnsi" w:hAnsiTheme="minorHAnsi" w:cstheme="minorHAnsi"/>
        </w:rPr>
        <w:t xml:space="preserve"> 2023; 11: e1249–59</w:t>
      </w:r>
    </w:p>
    <w:p w14:paraId="0CF26F1B" w14:textId="1EF6DA42" w:rsidR="001B5FA2" w:rsidRPr="00BB14A5" w:rsidRDefault="001B5FA2" w:rsidP="001B5FA2">
      <w:pPr>
        <w:pStyle w:val="ListParagraph"/>
        <w:numPr>
          <w:ilvl w:val="0"/>
          <w:numId w:val="10"/>
        </w:numPr>
        <w:rPr>
          <w:rFonts w:asciiTheme="minorHAnsi" w:hAnsiTheme="minorHAnsi" w:cstheme="minorHAnsi"/>
        </w:rPr>
      </w:pPr>
      <w:r w:rsidRPr="00BB14A5">
        <w:rPr>
          <w:rFonts w:asciiTheme="minorHAnsi" w:hAnsiTheme="minorHAnsi" w:cstheme="minorHAnsi"/>
          <w:lang w:val="en-US"/>
        </w:rPr>
        <w:t xml:space="preserve">Postpartum Hemorrhage Practice Bulletin No 183. The American College of Obstetricians and Gynecologists. </w:t>
      </w:r>
      <w:proofErr w:type="spellStart"/>
      <w:r w:rsidRPr="00BB14A5">
        <w:rPr>
          <w:rFonts w:asciiTheme="minorHAnsi" w:hAnsiTheme="minorHAnsi" w:cstheme="minorHAnsi"/>
        </w:rPr>
        <w:t>Obstet.Gynecol</w:t>
      </w:r>
      <w:proofErr w:type="spellEnd"/>
      <w:r w:rsidRPr="00BB14A5">
        <w:rPr>
          <w:rFonts w:asciiTheme="minorHAnsi" w:hAnsiTheme="minorHAnsi" w:cstheme="minorHAnsi"/>
        </w:rPr>
        <w:t xml:space="preserve"> 2017. 130: e168-186.</w:t>
      </w:r>
    </w:p>
    <w:p w14:paraId="4B9D0758" w14:textId="77777777" w:rsidR="001B5FA2" w:rsidRPr="00BB14A5" w:rsidRDefault="001B5FA2" w:rsidP="001B5FA2">
      <w:pPr>
        <w:pStyle w:val="ListParagraph"/>
        <w:numPr>
          <w:ilvl w:val="0"/>
          <w:numId w:val="10"/>
        </w:numPr>
        <w:rPr>
          <w:rFonts w:asciiTheme="minorHAnsi" w:hAnsiTheme="minorHAnsi" w:cstheme="minorHAnsi"/>
        </w:rPr>
      </w:pPr>
      <w:r w:rsidRPr="00BB14A5">
        <w:rPr>
          <w:rFonts w:asciiTheme="minorHAnsi" w:hAnsiTheme="minorHAnsi" w:cstheme="minorHAnsi"/>
        </w:rPr>
        <w:lastRenderedPageBreak/>
        <w:t xml:space="preserve">Bukhi, Talan. Understanding Postpartum Haemorrhage. </w:t>
      </w:r>
      <w:r w:rsidRPr="00BB14A5">
        <w:rPr>
          <w:rFonts w:asciiTheme="minorHAnsi" w:hAnsiTheme="minorHAnsi" w:cstheme="minorHAnsi"/>
          <w:i/>
        </w:rPr>
        <w:t>Lancet</w:t>
      </w:r>
      <w:r w:rsidRPr="00BB14A5">
        <w:rPr>
          <w:rFonts w:asciiTheme="minorHAnsi" w:hAnsiTheme="minorHAnsi" w:cstheme="minorHAnsi"/>
        </w:rPr>
        <w:t>. Vol 402 August 19, 2023.</w:t>
      </w:r>
    </w:p>
    <w:p w14:paraId="622F9F12" w14:textId="77777777" w:rsidR="001B5FA2" w:rsidRPr="00BB14A5" w:rsidRDefault="001B5FA2" w:rsidP="001B5FA2">
      <w:pPr>
        <w:pStyle w:val="ListParagraph"/>
        <w:numPr>
          <w:ilvl w:val="0"/>
          <w:numId w:val="10"/>
        </w:numPr>
        <w:rPr>
          <w:rFonts w:asciiTheme="minorHAnsi" w:hAnsiTheme="minorHAnsi" w:cstheme="minorHAnsi"/>
          <w:shd w:val="clear" w:color="auto" w:fill="FFFFFF"/>
          <w:lang w:val="en-US"/>
        </w:rPr>
      </w:pPr>
      <w:r w:rsidRPr="00BB14A5">
        <w:rPr>
          <w:rFonts w:asciiTheme="minorHAnsi" w:hAnsiTheme="minorHAnsi" w:cstheme="minorHAnsi"/>
          <w:shd w:val="clear" w:color="auto" w:fill="FFFFFF"/>
          <w:lang w:val="en-US"/>
        </w:rPr>
        <w:t xml:space="preserve">Gallos ID, Papadopoulou A, Man R, et al. Uterotonic agents for preventing postpartum </w:t>
      </w:r>
      <w:proofErr w:type="spellStart"/>
      <w:r w:rsidRPr="00BB14A5">
        <w:rPr>
          <w:rFonts w:asciiTheme="minorHAnsi" w:hAnsiTheme="minorHAnsi" w:cstheme="minorHAnsi"/>
          <w:shd w:val="clear" w:color="auto" w:fill="FFFFFF"/>
          <w:lang w:val="en-US"/>
        </w:rPr>
        <w:t>haemorrhage</w:t>
      </w:r>
      <w:proofErr w:type="spellEnd"/>
      <w:r w:rsidRPr="00BB14A5">
        <w:rPr>
          <w:rFonts w:asciiTheme="minorHAnsi" w:hAnsiTheme="minorHAnsi" w:cstheme="minorHAnsi"/>
          <w:shd w:val="clear" w:color="auto" w:fill="FFFFFF"/>
          <w:lang w:val="en-US"/>
        </w:rPr>
        <w:t xml:space="preserve">: a network meta-analysis. Cochrane Database Syst Rev. 2018 Dec 19;12(12):CD011689. </w:t>
      </w:r>
      <w:proofErr w:type="spellStart"/>
      <w:r w:rsidRPr="00BB14A5">
        <w:rPr>
          <w:rFonts w:asciiTheme="minorHAnsi" w:hAnsiTheme="minorHAnsi" w:cstheme="minorHAnsi"/>
          <w:shd w:val="clear" w:color="auto" w:fill="FFFFFF"/>
          <w:lang w:val="en-US"/>
        </w:rPr>
        <w:t>doi</w:t>
      </w:r>
      <w:proofErr w:type="spellEnd"/>
      <w:r w:rsidRPr="00BB14A5">
        <w:rPr>
          <w:rFonts w:asciiTheme="minorHAnsi" w:hAnsiTheme="minorHAnsi" w:cstheme="minorHAnsi"/>
          <w:shd w:val="clear" w:color="auto" w:fill="FFFFFF"/>
          <w:lang w:val="en-US"/>
        </w:rPr>
        <w:t>: 10.1002/14651858.CD011689.pub3</w:t>
      </w:r>
    </w:p>
    <w:p w14:paraId="57F66927" w14:textId="77777777" w:rsidR="001B5FA2" w:rsidRPr="00BB14A5" w:rsidRDefault="001B5FA2" w:rsidP="001B5FA2">
      <w:pPr>
        <w:pStyle w:val="ListParagraph"/>
        <w:numPr>
          <w:ilvl w:val="0"/>
          <w:numId w:val="10"/>
        </w:numPr>
        <w:rPr>
          <w:rFonts w:asciiTheme="minorHAnsi" w:hAnsiTheme="minorHAnsi" w:cstheme="minorHAnsi"/>
        </w:rPr>
      </w:pPr>
      <w:r w:rsidRPr="00BB14A5">
        <w:rPr>
          <w:rFonts w:asciiTheme="minorHAnsi" w:hAnsiTheme="minorHAnsi" w:cstheme="minorHAnsi"/>
          <w:lang w:val="en-US"/>
        </w:rPr>
        <w:t xml:space="preserve">Gallos, et al, 2023. Randomized Trial of Early Detection and Treatment of Postpartum Hemorrhage N Engl J Med 2023;389:11-21. </w:t>
      </w:r>
      <w:r w:rsidRPr="00BB14A5">
        <w:rPr>
          <w:rFonts w:asciiTheme="minorHAnsi" w:hAnsiTheme="minorHAnsi" w:cstheme="minorHAnsi"/>
        </w:rPr>
        <w:t>DOI: 10.1056/NEJMoa2303966</w:t>
      </w:r>
    </w:p>
    <w:p w14:paraId="232CE16D" w14:textId="77777777" w:rsidR="001B5FA2" w:rsidRPr="00BB14A5" w:rsidRDefault="001B5FA2" w:rsidP="001B5FA2">
      <w:pPr>
        <w:pStyle w:val="ListParagraph"/>
        <w:numPr>
          <w:ilvl w:val="0"/>
          <w:numId w:val="10"/>
        </w:numPr>
        <w:rPr>
          <w:rFonts w:asciiTheme="minorHAnsi" w:hAnsiTheme="minorHAnsi" w:cstheme="minorHAnsi"/>
          <w:shd w:val="clear" w:color="auto" w:fill="FFFFFF"/>
        </w:rPr>
      </w:pPr>
      <w:r w:rsidRPr="00BB14A5">
        <w:rPr>
          <w:rFonts w:asciiTheme="minorHAnsi" w:hAnsiTheme="minorHAnsi" w:cstheme="minorHAnsi"/>
          <w:shd w:val="clear" w:color="auto" w:fill="FFFFFF"/>
          <w:lang w:val="en-US"/>
        </w:rPr>
        <w:t xml:space="preserve">Liu LY, Nathan L, Sheen JJ, Goffman D. Review of Current Insights and Therapeutic Approaches for the Treatment of Refractory Postpartum Hemorrhage. </w:t>
      </w:r>
      <w:proofErr w:type="spellStart"/>
      <w:r w:rsidRPr="00BB14A5">
        <w:rPr>
          <w:rFonts w:asciiTheme="minorHAnsi" w:hAnsiTheme="minorHAnsi" w:cstheme="minorHAnsi"/>
          <w:shd w:val="clear" w:color="auto" w:fill="FFFFFF"/>
        </w:rPr>
        <w:t>Int</w:t>
      </w:r>
      <w:proofErr w:type="spellEnd"/>
      <w:r w:rsidRPr="00BB14A5">
        <w:rPr>
          <w:rFonts w:asciiTheme="minorHAnsi" w:hAnsiTheme="minorHAnsi" w:cstheme="minorHAnsi"/>
          <w:shd w:val="clear" w:color="auto" w:fill="FFFFFF"/>
        </w:rPr>
        <w:t xml:space="preserve"> J </w:t>
      </w:r>
      <w:proofErr w:type="spellStart"/>
      <w:r w:rsidRPr="00BB14A5">
        <w:rPr>
          <w:rFonts w:asciiTheme="minorHAnsi" w:hAnsiTheme="minorHAnsi" w:cstheme="minorHAnsi"/>
          <w:shd w:val="clear" w:color="auto" w:fill="FFFFFF"/>
        </w:rPr>
        <w:t>Womens</w:t>
      </w:r>
      <w:proofErr w:type="spellEnd"/>
      <w:r w:rsidRPr="00BB14A5">
        <w:rPr>
          <w:rFonts w:asciiTheme="minorHAnsi" w:hAnsiTheme="minorHAnsi" w:cstheme="minorHAnsi"/>
          <w:shd w:val="clear" w:color="auto" w:fill="FFFFFF"/>
        </w:rPr>
        <w:t xml:space="preserve"> </w:t>
      </w:r>
      <w:proofErr w:type="spellStart"/>
      <w:r w:rsidRPr="00BB14A5">
        <w:rPr>
          <w:rFonts w:asciiTheme="minorHAnsi" w:hAnsiTheme="minorHAnsi" w:cstheme="minorHAnsi"/>
          <w:shd w:val="clear" w:color="auto" w:fill="FFFFFF"/>
        </w:rPr>
        <w:t>Health</w:t>
      </w:r>
      <w:proofErr w:type="spellEnd"/>
      <w:r w:rsidRPr="00BB14A5">
        <w:rPr>
          <w:rFonts w:asciiTheme="minorHAnsi" w:hAnsiTheme="minorHAnsi" w:cstheme="minorHAnsi"/>
          <w:shd w:val="clear" w:color="auto" w:fill="FFFFFF"/>
        </w:rPr>
        <w:t>. 2023 Jun 1; 15:905-926. doi: 10.2147/IJWH.S366675</w:t>
      </w:r>
    </w:p>
    <w:p w14:paraId="147854F6" w14:textId="4885AB76" w:rsidR="003614E7" w:rsidRPr="00BB14A5" w:rsidRDefault="001B5FA2" w:rsidP="00B15156">
      <w:pPr>
        <w:pStyle w:val="ListParagraph"/>
        <w:numPr>
          <w:ilvl w:val="0"/>
          <w:numId w:val="10"/>
        </w:numPr>
        <w:rPr>
          <w:rFonts w:asciiTheme="minorHAnsi" w:hAnsiTheme="minorHAnsi" w:cstheme="minorHAnsi"/>
        </w:rPr>
        <w:sectPr w:rsidR="003614E7" w:rsidRPr="00BB14A5" w:rsidSect="004420B8">
          <w:endnotePr>
            <w:numFmt w:val="decimal"/>
          </w:endnotePr>
          <w:type w:val="continuous"/>
          <w:pgSz w:w="11906" w:h="16838"/>
          <w:pgMar w:top="1701" w:right="1134" w:bottom="851" w:left="1134" w:header="1418" w:footer="567" w:gutter="0"/>
          <w:cols w:space="720"/>
          <w:formProt w:val="0"/>
          <w:docGrid w:linePitch="299" w:charSpace="-6145"/>
        </w:sectPr>
      </w:pPr>
      <w:r w:rsidRPr="00BB14A5">
        <w:rPr>
          <w:rFonts w:asciiTheme="minorHAnsi" w:hAnsiTheme="minorHAnsi" w:cstheme="minorHAnsi"/>
        </w:rPr>
        <w:t xml:space="preserve">FIGO </w:t>
      </w:r>
      <w:r w:rsidR="00BF3827" w:rsidRPr="00BB14A5">
        <w:rPr>
          <w:rFonts w:asciiTheme="minorHAnsi" w:hAnsiTheme="minorHAnsi" w:cstheme="minorHAnsi"/>
        </w:rPr>
        <w:t>y</w:t>
      </w:r>
      <w:r w:rsidRPr="00BB14A5">
        <w:rPr>
          <w:rFonts w:asciiTheme="minorHAnsi" w:hAnsiTheme="minorHAnsi" w:cstheme="minorHAnsi"/>
        </w:rPr>
        <w:t xml:space="preserve"> ICM. </w:t>
      </w:r>
      <w:r w:rsidR="002B0A3B" w:rsidRPr="00BB14A5">
        <w:rPr>
          <w:rFonts w:asciiTheme="minorHAnsi" w:hAnsiTheme="minorHAnsi" w:cstheme="minorHAnsi"/>
        </w:rPr>
        <w:t>Declaración conjunta de recomendación para el uso de uterotónicos para la prevención de la hemorragia posparto</w:t>
      </w:r>
      <w:r w:rsidRPr="00BB14A5">
        <w:rPr>
          <w:rFonts w:asciiTheme="minorHAnsi" w:hAnsiTheme="minorHAnsi" w:cstheme="minorHAnsi"/>
        </w:rPr>
        <w:t>.</w:t>
      </w:r>
      <w:r w:rsidR="00073FDA" w:rsidRPr="00BB14A5">
        <w:t xml:space="preserve"> </w:t>
      </w:r>
      <w:r w:rsidR="00073FDA" w:rsidRPr="00BB14A5">
        <w:rPr>
          <w:rFonts w:asciiTheme="minorHAnsi" w:hAnsiTheme="minorHAnsi" w:cstheme="minorHAnsi"/>
        </w:rPr>
        <w:t>https://www.figo.org/es/declaraci%C3%B3n-conjunta-recomendaci%C3%B3n-uterot%C3%B3nicos-prevenci%C3%B3n-pph</w:t>
      </w:r>
      <w:r w:rsidRPr="00BB14A5">
        <w:rPr>
          <w:rFonts w:asciiTheme="minorHAnsi" w:hAnsiTheme="minorHAnsi" w:cstheme="minorHAnsi"/>
          <w:b/>
        </w:rPr>
        <w:fldChar w:fldCharType="end"/>
      </w:r>
    </w:p>
    <w:p w14:paraId="232C5A42" w14:textId="686306CE" w:rsidR="00626985" w:rsidRPr="003614E7" w:rsidRDefault="00645813" w:rsidP="00FF3245">
      <w:pPr>
        <w:pStyle w:val="References"/>
      </w:pPr>
      <w:r>
        <w:rPr>
          <w:noProof/>
          <w:vanish/>
        </w:rPr>
        <w:lastRenderedPageBreak/>
        <mc:AlternateContent>
          <mc:Choice Requires="wpg">
            <w:drawing>
              <wp:anchor distT="0" distB="0" distL="114300" distR="114300" simplePos="0" relativeHeight="251654144" behindDoc="0" locked="0" layoutInCell="1" allowOverlap="1" wp14:anchorId="18D903C6" wp14:editId="185FDE84">
                <wp:simplePos x="0" y="0"/>
                <wp:positionH relativeFrom="column">
                  <wp:posOffset>-720090</wp:posOffset>
                </wp:positionH>
                <wp:positionV relativeFrom="paragraph">
                  <wp:posOffset>354330</wp:posOffset>
                </wp:positionV>
                <wp:extent cx="7559675" cy="6732905"/>
                <wp:effectExtent l="0" t="0" r="3175" b="0"/>
                <wp:wrapTopAndBottom/>
                <wp:docPr id="24" name="Group 24"/>
                <wp:cNvGraphicFramePr/>
                <a:graphic xmlns:a="http://schemas.openxmlformats.org/drawingml/2006/main">
                  <a:graphicData uri="http://schemas.microsoft.com/office/word/2010/wordprocessingGroup">
                    <wpg:wgp>
                      <wpg:cNvGrpSpPr/>
                      <wpg:grpSpPr>
                        <a:xfrm>
                          <a:off x="0" y="0"/>
                          <a:ext cx="7559675" cy="6732905"/>
                          <a:chOff x="0" y="-2301660"/>
                          <a:chExt cx="7559675" cy="6167062"/>
                        </a:xfrm>
                      </wpg:grpSpPr>
                      <wps:wsp>
                        <wps:cNvPr id="25" name="Rectangle 25"/>
                        <wps:cNvSpPr/>
                        <wps:spPr>
                          <a:xfrm>
                            <a:off x="0" y="-2301660"/>
                            <a:ext cx="7559675" cy="616706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716973" y="-2194531"/>
                            <a:ext cx="6126480" cy="5989475"/>
                          </a:xfrm>
                          <a:prstGeom prst="rect">
                            <a:avLst/>
                          </a:prstGeom>
                          <a:noFill/>
                          <a:ln w="6350">
                            <a:noFill/>
                          </a:ln>
                        </wps:spPr>
                        <wps:txbx>
                          <w:txbxContent>
                            <w:p w14:paraId="26FA55AA" w14:textId="77777777" w:rsidR="00A63E0D" w:rsidRPr="00BB14A5" w:rsidRDefault="00A63E0D" w:rsidP="00A63E0D">
                              <w:pPr>
                                <w:spacing w:after="120"/>
                                <w:rPr>
                                  <w:b/>
                                  <w:bCs/>
                                  <w:color w:val="00AD86" w:themeColor="accent1"/>
                                  <w:sz w:val="21"/>
                                  <w:szCs w:val="22"/>
                                </w:rPr>
                              </w:pPr>
                              <w:r w:rsidRPr="00BB14A5">
                                <w:rPr>
                                  <w:b/>
                                  <w:color w:val="00AD86" w:themeColor="accent1"/>
                                  <w:sz w:val="21"/>
                                </w:rPr>
                                <w:t>Acerca de la FIGO</w:t>
                              </w:r>
                            </w:p>
                            <w:p w14:paraId="722F922D" w14:textId="77777777" w:rsidR="007E6DA5" w:rsidRPr="00BB14A5" w:rsidRDefault="007E6DA5" w:rsidP="007E6DA5">
                              <w:pPr>
                                <w:rPr>
                                  <w:sz w:val="20"/>
                                </w:rPr>
                              </w:pPr>
                              <w:r w:rsidRPr="00BB14A5">
                                <w:rPr>
                                  <w:sz w:val="20"/>
                                </w:rPr>
                                <w:t xml:space="preserve">FIGO es una organización profesional que reúne a más de 130 asociaciones de obstetricia y ginecología de todo el mundo. El objetivo de FIGO es que las mujeres del mundo alcancen los estándares más altos posibles de salud física, mental, reproductiva y sexual, y de bienestar durante toda la vida. Para alcanzar la meta, centramos nuestras actividades en cuatro pilares: educación, implementación de investigaciones, </w:t>
                              </w:r>
                              <w:proofErr w:type="spellStart"/>
                              <w:r w:rsidRPr="00BB14A5">
                                <w:rPr>
                                  <w:i/>
                                  <w:sz w:val="20"/>
                                </w:rPr>
                                <w:t>advocacy</w:t>
                              </w:r>
                              <w:proofErr w:type="spellEnd"/>
                              <w:r w:rsidRPr="00BB14A5">
                                <w:rPr>
                                  <w:sz w:val="20"/>
                                </w:rPr>
                                <w:t xml:space="preserve"> y desarrollo de capacidades.</w:t>
                              </w:r>
                            </w:p>
                            <w:p w14:paraId="590BD320" w14:textId="77777777" w:rsidR="00126619" w:rsidRPr="00BB14A5" w:rsidRDefault="007E6DA5" w:rsidP="007E6DA5">
                              <w:pPr>
                                <w:rPr>
                                  <w:sz w:val="20"/>
                                </w:rPr>
                              </w:pPr>
                              <w:r w:rsidRPr="00BB14A5">
                                <w:rPr>
                                  <w:sz w:val="20"/>
                                </w:rPr>
                                <w:t>FIGO lleva adelante actividades de programas globales, con un enfoque particular en el África subsahariana y el sudeste asiático. Promovemos un escenario mundial, en especial, en relación con los Objetivos de Desarrollo Sostenible (ODS) concerniente a la salud reproductiva, materna, de recién nacidos, niños y adolescentes y las enfermedades no transmisibles (ODS 3). También trabajamos para mejorar el reconocimiento de las mujeres y permitir su participación activa a favor de la reivindicación de sus derechos sexuales y reproductivos, incluidos el abordaje de la mutilación genital femenina (MGF) y la violencia de género (ODS 5).</w:t>
                              </w:r>
                            </w:p>
                            <w:p w14:paraId="12261776" w14:textId="2AB7678A" w:rsidR="00A63E0D" w:rsidRPr="00BB14A5" w:rsidRDefault="00A63E0D" w:rsidP="007E6DA5">
                              <w:pPr>
                                <w:rPr>
                                  <w:sz w:val="20"/>
                                  <w:szCs w:val="20"/>
                                </w:rPr>
                              </w:pPr>
                              <w:r w:rsidRPr="00BB14A5">
                                <w:rPr>
                                  <w:sz w:val="20"/>
                                </w:rPr>
                                <w:t>Además, brindamos educación y capacitación para nuestras asociaciones miembros y desarrollamos capacidades para quienes provienen de países de bajos recursos mediante el fortalecimiento del liderazgo, las prácticas recomendadas y la promoción del diálogo sobre políticas.</w:t>
                              </w:r>
                            </w:p>
                            <w:p w14:paraId="5A5EC057" w14:textId="77777777" w:rsidR="00A63E0D" w:rsidRPr="00BB14A5" w:rsidRDefault="00A63E0D" w:rsidP="00A63E0D">
                              <w:pPr>
                                <w:rPr>
                                  <w:sz w:val="20"/>
                                  <w:szCs w:val="20"/>
                                </w:rPr>
                              </w:pPr>
                              <w:r w:rsidRPr="00BB14A5">
                                <w:rPr>
                                  <w:sz w:val="20"/>
                                </w:rPr>
                                <w:t>FIGO tiene relación oficial con la Organización Mundial de la Salud y estado consultivo con la Organización de las Naciones Unidas.</w:t>
                              </w:r>
                            </w:p>
                            <w:p w14:paraId="0005A579" w14:textId="77777777" w:rsidR="0070788B" w:rsidRPr="00BB14A5" w:rsidRDefault="0070788B" w:rsidP="0070788B">
                              <w:pPr>
                                <w:spacing w:after="120"/>
                                <w:rPr>
                                  <w:b/>
                                  <w:bCs/>
                                  <w:color w:val="00AD86" w:themeColor="accent1"/>
                                  <w:sz w:val="21"/>
                                  <w:szCs w:val="22"/>
                                </w:rPr>
                              </w:pPr>
                              <w:r w:rsidRPr="00BB14A5">
                                <w:rPr>
                                  <w:b/>
                                  <w:color w:val="00AD86" w:themeColor="accent1"/>
                                  <w:sz w:val="21"/>
                                </w:rPr>
                                <w:t>Acerca del lenguaje que utilizamos</w:t>
                              </w:r>
                            </w:p>
                            <w:p w14:paraId="73A9BA97" w14:textId="77777777" w:rsidR="0070788B" w:rsidRPr="00BB14A5" w:rsidRDefault="0070788B" w:rsidP="0070788B">
                              <w:pPr>
                                <w:rPr>
                                  <w:sz w:val="20"/>
                                  <w:szCs w:val="20"/>
                                </w:rPr>
                              </w:pPr>
                              <w:r w:rsidRPr="00BB14A5">
                                <w:rPr>
                                  <w:sz w:val="20"/>
                                </w:rPr>
                                <w:t>En nuestros documentos a menudo utilizamos los términos "mujer", "niña" y "mujeres y niñas". Reconocemos que no todas las personas que requieren acceso a servicios ginecológicos y obstétricos se identifican como una mujer o una niña. Se debe proporcionar acceso a servicios y atención apropiados, inclusivos y sensibles a toda persona, sin importar su identidad de género.</w:t>
                              </w:r>
                            </w:p>
                            <w:p w14:paraId="5168366E" w14:textId="77777777" w:rsidR="0070788B" w:rsidRPr="00BB14A5" w:rsidRDefault="0070788B" w:rsidP="0070788B">
                              <w:pPr>
                                <w:rPr>
                                  <w:sz w:val="20"/>
                                  <w:szCs w:val="20"/>
                                </w:rPr>
                              </w:pPr>
                              <w:r w:rsidRPr="00BB14A5">
                                <w:rPr>
                                  <w:sz w:val="20"/>
                                </w:rPr>
                                <w:t>También utilizamos el término "familia". Utilizamos este término para referirnos a un grupo reconocido (que podría estar unido por un lazo sanguíneo, de matrimonio, conyugal, cohabitación o adopción) que forma una conexión emocional y funciona como unidad de la sociedad.</w:t>
                              </w:r>
                            </w:p>
                            <w:p w14:paraId="25FD003D" w14:textId="77777777" w:rsidR="0070788B" w:rsidRPr="00BB14A5" w:rsidRDefault="0070788B" w:rsidP="0070788B">
                              <w:pPr>
                                <w:rPr>
                                  <w:sz w:val="20"/>
                                  <w:szCs w:val="20"/>
                                </w:rPr>
                              </w:pPr>
                              <w:r w:rsidRPr="00BB14A5">
                                <w:rPr>
                                  <w:sz w:val="20"/>
                                </w:rPr>
                                <w:t>FIGO reconoce que parte del lenguaje que utilizamos no es naturalmente inclusivo. Estamos realizando una revisión profunda de las palabras y las frases que utilizamos para describir a las personas, la salud, el bienestar y los derechos con el fin de demostrar nuestro compromiso en crear e implementar políticas, programas y servicios inclusivos.</w:t>
                              </w:r>
                            </w:p>
                            <w:p w14:paraId="75FEFBAC" w14:textId="0BD87037" w:rsidR="00A63E0D" w:rsidRPr="00BB14A5" w:rsidRDefault="00A63E0D" w:rsidP="000A3D63">
                              <w:pPr>
                                <w:ind w:left="2120" w:hanging="2120"/>
                                <w:rPr>
                                  <w:b/>
                                  <w:bCs/>
                                  <w:color w:val="00AD86"/>
                                  <w:sz w:val="20"/>
                                  <w:szCs w:val="20"/>
                                </w:rPr>
                              </w:pPr>
                              <w:r w:rsidRPr="00BB14A5">
                                <w:rPr>
                                  <w:b/>
                                  <w:color w:val="00AD86"/>
                                  <w:sz w:val="20"/>
                                </w:rPr>
                                <w:t xml:space="preserve">Envíe sus consultas </w:t>
                              </w:r>
                              <w:r w:rsidRPr="00BB14A5">
                                <w:rPr>
                                  <w:color w:val="00AD86"/>
                                  <w:sz w:val="20"/>
                                </w:rPr>
                                <w:tab/>
                              </w:r>
                              <w:r w:rsidRPr="00BB14A5">
                                <w:rPr>
                                  <w:color w:val="auto"/>
                                  <w:sz w:val="20"/>
                                </w:rPr>
                                <w:t>Rob Hucker, Jefe de comunicaciones y compromiso</w:t>
                              </w:r>
                              <w:r w:rsidRPr="00BB14A5">
                                <w:rPr>
                                  <w:color w:val="auto"/>
                                  <w:sz w:val="20"/>
                                </w:rPr>
                                <w:br/>
                              </w:r>
                              <w:hyperlink r:id="rId19" w:history="1">
                                <w:r w:rsidRPr="00BB14A5">
                                  <w:rPr>
                                    <w:rStyle w:val="Hyperlink"/>
                                    <w:sz w:val="20"/>
                                  </w:rPr>
                                  <w:t>rob@figo.org</w:t>
                                </w:r>
                              </w:hyperlink>
                              <w:r w:rsidRPr="00BB14A5">
                                <w:rPr>
                                  <w:color w:val="00AD86"/>
                                  <w:sz w:val="20"/>
                                </w:rPr>
                                <w:t xml:space="preserve"> </w:t>
                              </w:r>
                              <w:r w:rsidRPr="00BB14A5">
                                <w:rPr>
                                  <w:color w:val="00AD86"/>
                                  <w:sz w:val="20"/>
                                </w:rPr>
                                <w:tab/>
                              </w:r>
                              <w:r w:rsidRPr="00BB14A5">
                                <w:rPr>
                                  <w:color w:val="auto"/>
                                  <w:sz w:val="20"/>
                                </w:rPr>
                                <w:t>+44 (0) 7383 025 731</w:t>
                              </w:r>
                            </w:p>
                            <w:p w14:paraId="5209FBAE" w14:textId="77777777" w:rsidR="00A63E0D" w:rsidRPr="00BB14A5" w:rsidRDefault="00A63E0D" w:rsidP="00A63E0D">
                              <w:pPr>
                                <w:ind w:left="1701" w:hanging="1701"/>
                                <w:rPr>
                                  <w:b/>
                                  <w:bCs/>
                                  <w:color w:val="00AD86"/>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D903C6" id="Group 24" o:spid="_x0000_s1026" style="position:absolute;margin-left:-56.7pt;margin-top:27.9pt;width:595.25pt;height:530.15pt;z-index:251654144;mso-height-relative:margin" coordorigin=",-23016" coordsize="75596,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">
                <v:rect id="Rectangle 25" o:spid="_x0000_s1027" style="position:absolute;top:-23016;width:75596;height:61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" fillcolor="#e9f4ee [664]" stroked="f" strokeweight="1pt"/>
                <v:shapetype id="_x0000_t202" coordsize="21600,21600" o:spt="202" path="m,l,21600r21600,l21600,xe">
                  <v:stroke joinstyle="miter"/>
                  <v:path gradientshapeok="t" o:connecttype="rect"/>
                </v:shapetype>
                <v:shape id="Text Box 26" o:spid="_x0000_s1028" type="#_x0000_t202" style="position:absolute;left:7169;top:-21945;width:61265;height:598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26FA55AA" w14:textId="77777777" w:rsidR="00A63E0D" w:rsidRPr="00BB14A5" w:rsidRDefault="00A63E0D" w:rsidP="00A63E0D">
                        <w:pPr>
                          <w:spacing w:after="120"/>
                          <w:rPr>
                            <w:b/>
                            <w:bCs/>
                            <w:color w:val="00AD86" w:themeColor="accent1"/>
                            <w:sz w:val="21"/>
                            <w:szCs w:val="22"/>
                          </w:rPr>
                        </w:pPr>
                        <w:r w:rsidRPr="00BB14A5">
                          <w:rPr>
                            <w:b/>
                            <w:color w:val="00AD86" w:themeColor="accent1"/>
                            <w:sz w:val="21"/>
                          </w:rPr>
                          <w:t>Acerca de la FIGO</w:t>
                        </w:r>
                      </w:p>
                      <w:p w14:paraId="722F922D" w14:textId="77777777" w:rsidR="007E6DA5" w:rsidRPr="00BB14A5" w:rsidRDefault="007E6DA5" w:rsidP="007E6DA5">
                        <w:pPr>
                          <w:rPr>
                            <w:sz w:val="20"/>
                          </w:rPr>
                        </w:pPr>
                        <w:r w:rsidRPr="00BB14A5">
                          <w:rPr>
                            <w:sz w:val="20"/>
                          </w:rPr>
                          <w:t xml:space="preserve">FIGO es una organización profesional que reúne a más de 130 asociaciones de obstetricia y ginecología de todo el mundo. El objetivo de FIGO es que las mujeres del mundo alcancen los estándares más altos posibles de salud física, mental, reproductiva y sexual, y de bienestar durante toda la vida. Para alcanzar la meta, centramos nuestras actividades en cuatro pilares: educación, implementación de investigaciones, </w:t>
                        </w:r>
                        <w:proofErr w:type="spellStart"/>
                        <w:r w:rsidRPr="00BB14A5">
                          <w:rPr>
                            <w:i/>
                            <w:sz w:val="20"/>
                          </w:rPr>
                          <w:t>advocacy</w:t>
                        </w:r>
                        <w:proofErr w:type="spellEnd"/>
                        <w:r w:rsidRPr="00BB14A5">
                          <w:rPr>
                            <w:sz w:val="20"/>
                          </w:rPr>
                          <w:t xml:space="preserve"> y desarrollo de capacidades.</w:t>
                        </w:r>
                      </w:p>
                      <w:p w14:paraId="590BD320" w14:textId="77777777" w:rsidR="00126619" w:rsidRPr="00BB14A5" w:rsidRDefault="007E6DA5" w:rsidP="007E6DA5">
                        <w:pPr>
                          <w:rPr>
                            <w:sz w:val="20"/>
                          </w:rPr>
                        </w:pPr>
                        <w:r w:rsidRPr="00BB14A5">
                          <w:rPr>
                            <w:sz w:val="20"/>
                          </w:rPr>
                          <w:t>FIGO lleva adelante actividades de programas globales, con un enfoque particular en el África subsahariana y el sudeste asiático. Promovemos un escenario mundial, en especial, en relación con los Objetivos de Desarrollo Sostenible (ODS) concerniente a la salud reproductiva, materna, de recién nacidos, niños y adolescentes y las enfermedades no transmisibles (ODS 3). También trabajamos para mejorar el reconocimiento de las mujeres y permitir su participación activa a favor de la reivindicación de sus derechos sexuales y reproductivos, incluidos el abordaje de la mutilación genital femenina (MGF) y la violencia de género (ODS 5).</w:t>
                        </w:r>
                      </w:p>
                      <w:p w14:paraId="12261776" w14:textId="2AB7678A" w:rsidR="00A63E0D" w:rsidRPr="00BB14A5" w:rsidRDefault="00A63E0D" w:rsidP="007E6DA5">
                        <w:pPr>
                          <w:rPr>
                            <w:sz w:val="20"/>
                            <w:szCs w:val="20"/>
                          </w:rPr>
                        </w:pPr>
                        <w:r w:rsidRPr="00BB14A5">
                          <w:rPr>
                            <w:sz w:val="20"/>
                          </w:rPr>
                          <w:t>Además, brindamos educación y capacitación para nuestras asociaciones miembros y desarrollamos capacidades para quienes provienen de países de bajos recursos mediante el fortalecimiento del liderazgo, las prácticas recomendadas y la promoción del diálogo sobre políticas.</w:t>
                        </w:r>
                      </w:p>
                      <w:p w14:paraId="5A5EC057" w14:textId="77777777" w:rsidR="00A63E0D" w:rsidRPr="00BB14A5" w:rsidRDefault="00A63E0D" w:rsidP="00A63E0D">
                        <w:pPr>
                          <w:rPr>
                            <w:sz w:val="20"/>
                            <w:szCs w:val="20"/>
                          </w:rPr>
                        </w:pPr>
                        <w:r w:rsidRPr="00BB14A5">
                          <w:rPr>
                            <w:sz w:val="20"/>
                          </w:rPr>
                          <w:t>FIGO tiene relación oficial con la Organización Mundial de la Salud y estado consultivo con la Organización de las Naciones Unidas.</w:t>
                        </w:r>
                      </w:p>
                      <w:p w14:paraId="0005A579" w14:textId="77777777" w:rsidR="0070788B" w:rsidRPr="00BB14A5" w:rsidRDefault="0070788B" w:rsidP="0070788B">
                        <w:pPr>
                          <w:spacing w:after="120"/>
                          <w:rPr>
                            <w:b/>
                            <w:bCs/>
                            <w:color w:val="00AD86" w:themeColor="accent1"/>
                            <w:sz w:val="21"/>
                            <w:szCs w:val="22"/>
                          </w:rPr>
                        </w:pPr>
                        <w:r w:rsidRPr="00BB14A5">
                          <w:rPr>
                            <w:b/>
                            <w:color w:val="00AD86" w:themeColor="accent1"/>
                            <w:sz w:val="21"/>
                          </w:rPr>
                          <w:t>Acerca del lenguaje que utilizamos</w:t>
                        </w:r>
                      </w:p>
                      <w:p w14:paraId="73A9BA97" w14:textId="77777777" w:rsidR="0070788B" w:rsidRPr="00BB14A5" w:rsidRDefault="0070788B" w:rsidP="0070788B">
                        <w:pPr>
                          <w:rPr>
                            <w:sz w:val="20"/>
                            <w:szCs w:val="20"/>
                          </w:rPr>
                        </w:pPr>
                        <w:r w:rsidRPr="00BB14A5">
                          <w:rPr>
                            <w:sz w:val="20"/>
                          </w:rPr>
                          <w:t>En nuestros documentos a menudo utilizamos los términos "mujer", "niña" y "mujeres y niñas". Reconocemos que no todas las personas que requieren acceso a servicios ginecológicos y obstétricos se identifican como una mujer o una niña. Se debe proporcionar acceso a servicios y atención apropiados, inclusivos y sensibles a toda persona, sin importar su identidad de género.</w:t>
                        </w:r>
                      </w:p>
                      <w:p w14:paraId="5168366E" w14:textId="77777777" w:rsidR="0070788B" w:rsidRPr="00BB14A5" w:rsidRDefault="0070788B" w:rsidP="0070788B">
                        <w:pPr>
                          <w:rPr>
                            <w:sz w:val="20"/>
                            <w:szCs w:val="20"/>
                          </w:rPr>
                        </w:pPr>
                        <w:r w:rsidRPr="00BB14A5">
                          <w:rPr>
                            <w:sz w:val="20"/>
                          </w:rPr>
                          <w:t>También utilizamos el término "familia". Utilizamos este término para referirnos a un grupo reconocido (que podría estar unido por un lazo sanguíneo, de matrimonio, conyugal, cohabitación o adopción) que forma una conexión emocional y funciona como unidad de la sociedad.</w:t>
                        </w:r>
                      </w:p>
                      <w:p w14:paraId="25FD003D" w14:textId="77777777" w:rsidR="0070788B" w:rsidRPr="00BB14A5" w:rsidRDefault="0070788B" w:rsidP="0070788B">
                        <w:pPr>
                          <w:rPr>
                            <w:sz w:val="20"/>
                            <w:szCs w:val="20"/>
                          </w:rPr>
                        </w:pPr>
                        <w:r w:rsidRPr="00BB14A5">
                          <w:rPr>
                            <w:sz w:val="20"/>
                          </w:rPr>
                          <w:t>FIGO reconoce que parte del lenguaje que utilizamos no es naturalmente inclusivo. Estamos realizando una revisión profunda de las palabras y las frases que utilizamos para describir a las personas, la salud, el bienestar y los derechos con el fin de demostrar nuestro compromiso en crear e implementar políticas, programas y servicios inclusivos.</w:t>
                        </w:r>
                      </w:p>
                      <w:p w14:paraId="75FEFBAC" w14:textId="0BD87037" w:rsidR="00A63E0D" w:rsidRPr="00BB14A5" w:rsidRDefault="00A63E0D" w:rsidP="000A3D63">
                        <w:pPr>
                          <w:ind w:left="2120" w:hanging="2120"/>
                          <w:rPr>
                            <w:b/>
                            <w:bCs/>
                            <w:color w:val="00AD86"/>
                            <w:sz w:val="20"/>
                            <w:szCs w:val="20"/>
                          </w:rPr>
                        </w:pPr>
                        <w:r w:rsidRPr="00BB14A5">
                          <w:rPr>
                            <w:b/>
                            <w:color w:val="00AD86"/>
                            <w:sz w:val="20"/>
                          </w:rPr>
                          <w:t xml:space="preserve">Envíe sus consultas </w:t>
                        </w:r>
                        <w:r w:rsidRPr="00BB14A5">
                          <w:rPr>
                            <w:color w:val="00AD86"/>
                            <w:sz w:val="20"/>
                          </w:rPr>
                          <w:tab/>
                        </w:r>
                        <w:r w:rsidRPr="00BB14A5">
                          <w:rPr>
                            <w:color w:val="auto"/>
                            <w:sz w:val="20"/>
                          </w:rPr>
                          <w:t>Rob Hucker, Jefe de comunicaciones y compromiso</w:t>
                        </w:r>
                        <w:r w:rsidRPr="00BB14A5">
                          <w:rPr>
                            <w:color w:val="auto"/>
                            <w:sz w:val="20"/>
                          </w:rPr>
                          <w:br/>
                        </w:r>
                        <w:hyperlink r:id="rId20" w:history="1">
                          <w:r w:rsidRPr="00BB14A5">
                            <w:rPr>
                              <w:rStyle w:val="Hyperlink"/>
                              <w:sz w:val="20"/>
                            </w:rPr>
                            <w:t>rob@figo.org</w:t>
                          </w:r>
                        </w:hyperlink>
                        <w:r w:rsidRPr="00BB14A5">
                          <w:rPr>
                            <w:color w:val="00AD86"/>
                            <w:sz w:val="20"/>
                          </w:rPr>
                          <w:t xml:space="preserve"> </w:t>
                        </w:r>
                        <w:r w:rsidRPr="00BB14A5">
                          <w:rPr>
                            <w:color w:val="00AD86"/>
                            <w:sz w:val="20"/>
                          </w:rPr>
                          <w:tab/>
                        </w:r>
                        <w:r w:rsidRPr="00BB14A5">
                          <w:rPr>
                            <w:color w:val="auto"/>
                            <w:sz w:val="20"/>
                          </w:rPr>
                          <w:t>+44 (0) 7383 025 731</w:t>
                        </w:r>
                      </w:p>
                      <w:p w14:paraId="5209FBAE" w14:textId="77777777" w:rsidR="00A63E0D" w:rsidRPr="00BB14A5" w:rsidRDefault="00A63E0D" w:rsidP="00A63E0D">
                        <w:pPr>
                          <w:ind w:left="1701" w:hanging="1701"/>
                          <w:rPr>
                            <w:b/>
                            <w:bCs/>
                            <w:color w:val="00AD86"/>
                            <w:sz w:val="20"/>
                            <w:szCs w:val="20"/>
                          </w:rPr>
                        </w:pPr>
                      </w:p>
                    </w:txbxContent>
                  </v:textbox>
                </v:shape>
                <w10:wrap type="topAndBottom"/>
              </v:group>
            </w:pict>
          </mc:Fallback>
        </mc:AlternateContent>
      </w:r>
      <w:r>
        <w:rPr>
          <w:noProof/>
          <w:vanish/>
        </w:rPr>
        <mc:AlternateContent>
          <mc:Choice Requires="wpg">
            <w:drawing>
              <wp:anchor distT="0" distB="0" distL="114300" distR="114300" simplePos="0" relativeHeight="251655168" behindDoc="0" locked="0" layoutInCell="1" allowOverlap="1" wp14:anchorId="3AF21C1F" wp14:editId="1EECF297">
                <wp:simplePos x="0" y="0"/>
                <wp:positionH relativeFrom="column">
                  <wp:posOffset>-720090</wp:posOffset>
                </wp:positionH>
                <wp:positionV relativeFrom="paragraph">
                  <wp:posOffset>7309685</wp:posOffset>
                </wp:positionV>
                <wp:extent cx="7559675" cy="1230496"/>
                <wp:effectExtent l="0" t="0" r="0" b="1905"/>
                <wp:wrapTopAndBottom/>
                <wp:docPr id="27" name="Group 27"/>
                <wp:cNvGraphicFramePr/>
                <a:graphic xmlns:a="http://schemas.openxmlformats.org/drawingml/2006/main">
                  <a:graphicData uri="http://schemas.microsoft.com/office/word/2010/wordprocessingGroup">
                    <wpg:wgp>
                      <wpg:cNvGrpSpPr/>
                      <wpg:grpSpPr>
                        <a:xfrm>
                          <a:off x="0" y="0"/>
                          <a:ext cx="7559675" cy="1230496"/>
                          <a:chOff x="0" y="0"/>
                          <a:chExt cx="7559675" cy="1229710"/>
                        </a:xfrm>
                      </wpg:grpSpPr>
                      <wps:wsp>
                        <wps:cNvPr id="28" name="Rectangle 28"/>
                        <wps:cNvSpPr/>
                        <wps:spPr>
                          <a:xfrm>
                            <a:off x="0" y="0"/>
                            <a:ext cx="7559675" cy="122971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714703" y="157655"/>
                            <a:ext cx="6126480" cy="977462"/>
                          </a:xfrm>
                          <a:prstGeom prst="rect">
                            <a:avLst/>
                          </a:prstGeom>
                          <a:noFill/>
                          <a:ln w="6350">
                            <a:noFill/>
                          </a:ln>
                        </wps:spPr>
                        <wps:txbx>
                          <w:txbxContent>
                            <w:p w14:paraId="4E5D5B2F" w14:textId="77777777" w:rsidR="00A63E0D" w:rsidRDefault="00A63E0D" w:rsidP="00A63E0D">
                              <w:pPr>
                                <w:spacing w:after="120"/>
                                <w:rPr>
                                  <w:b/>
                                  <w:bCs/>
                                  <w:color w:val="00AD86" w:themeColor="accent1"/>
                                  <w:sz w:val="21"/>
                                  <w:szCs w:val="22"/>
                                </w:rPr>
                              </w:pPr>
                              <w:r>
                                <w:rPr>
                                  <w:b/>
                                  <w:color w:val="00AD86" w:themeColor="accent1"/>
                                  <w:sz w:val="21"/>
                                </w:rPr>
                                <w:t>Referencia sobre este pronunciamiento</w:t>
                              </w:r>
                            </w:p>
                            <w:p w14:paraId="47BB5AD0" w14:textId="11A61285" w:rsidR="00D73695" w:rsidRPr="005D6E88" w:rsidRDefault="00A63E0D" w:rsidP="00D73695">
                              <w:pPr>
                                <w:rPr>
                                  <w:color w:val="00B084"/>
                                  <w:spacing w:val="-2"/>
                                  <w:sz w:val="20"/>
                                  <w:szCs w:val="20"/>
                                  <w:u w:val="single"/>
                                </w:rPr>
                              </w:pPr>
                              <w:r>
                                <w:rPr>
                                  <w:color w:val="181617" w:themeColor="text2"/>
                                  <w:sz w:val="20"/>
                                  <w:lang w:val="es-ES"/>
                                </w:rPr>
                                <w:t xml:space="preserve">International </w:t>
                              </w:r>
                              <w:proofErr w:type="spellStart"/>
                              <w:r>
                                <w:rPr>
                                  <w:color w:val="181617" w:themeColor="text2"/>
                                  <w:sz w:val="20"/>
                                  <w:lang w:val="es-ES"/>
                                </w:rPr>
                                <w:t>Federation</w:t>
                              </w:r>
                              <w:proofErr w:type="spellEnd"/>
                              <w:r>
                                <w:rPr>
                                  <w:color w:val="181617" w:themeColor="text2"/>
                                  <w:sz w:val="20"/>
                                  <w:lang w:val="es-ES"/>
                                </w:rPr>
                                <w:t xml:space="preserve"> </w:t>
                              </w:r>
                              <w:proofErr w:type="spellStart"/>
                              <w:r>
                                <w:rPr>
                                  <w:color w:val="181617" w:themeColor="text2"/>
                                  <w:sz w:val="20"/>
                                  <w:lang w:val="es-ES"/>
                                </w:rPr>
                                <w:t>of</w:t>
                              </w:r>
                              <w:proofErr w:type="spellEnd"/>
                              <w:r>
                                <w:rPr>
                                  <w:color w:val="181617" w:themeColor="text2"/>
                                  <w:sz w:val="20"/>
                                  <w:lang w:val="es-ES"/>
                                </w:rPr>
                                <w:t xml:space="preserve"> </w:t>
                              </w:r>
                              <w:proofErr w:type="spellStart"/>
                              <w:r>
                                <w:rPr>
                                  <w:color w:val="181617" w:themeColor="text2"/>
                                  <w:sz w:val="20"/>
                                  <w:lang w:val="es-ES"/>
                                </w:rPr>
                                <w:t>Gynecology</w:t>
                              </w:r>
                              <w:proofErr w:type="spellEnd"/>
                              <w:r>
                                <w:rPr>
                                  <w:color w:val="181617" w:themeColor="text2"/>
                                  <w:sz w:val="20"/>
                                  <w:lang w:val="es-ES"/>
                                </w:rPr>
                                <w:t xml:space="preserve"> and </w:t>
                              </w:r>
                              <w:proofErr w:type="spellStart"/>
                              <w:r>
                                <w:rPr>
                                  <w:color w:val="181617" w:themeColor="text2"/>
                                  <w:sz w:val="20"/>
                                  <w:lang w:val="es-ES"/>
                                </w:rPr>
                                <w:t>Obstetrics</w:t>
                              </w:r>
                              <w:proofErr w:type="spellEnd"/>
                              <w:r>
                                <w:rPr>
                                  <w:color w:val="181617" w:themeColor="text2"/>
                                  <w:sz w:val="20"/>
                                  <w:lang w:val="es-ES"/>
                                </w:rPr>
                                <w:t xml:space="preserve">. </w:t>
                              </w:r>
                              <w:r w:rsidR="00DC2412" w:rsidRPr="009812CF">
                                <w:rPr>
                                  <w:i/>
                                  <w:color w:val="181617" w:themeColor="text2"/>
                                  <w:sz w:val="20"/>
                                </w:rPr>
                                <w:fldChar w:fldCharType="begin"/>
                              </w:r>
                              <w:r w:rsidR="00DC2412" w:rsidRPr="00FB2BA5">
                                <w:rPr>
                                  <w:i/>
                                  <w:color w:val="181617" w:themeColor="text2"/>
                                  <w:sz w:val="20"/>
                                </w:rPr>
                                <w:instrText xml:space="preserve"> TITLE  \* MERGEFORMAT </w:instrText>
                              </w:r>
                              <w:r w:rsidR="00DC2412" w:rsidRPr="009812CF">
                                <w:rPr>
                                  <w:i/>
                                  <w:color w:val="181617" w:themeColor="text2"/>
                                  <w:sz w:val="20"/>
                                </w:rPr>
                                <w:fldChar w:fldCharType="separate"/>
                              </w:r>
                              <w:r w:rsidR="00BB14A5">
                                <w:rPr>
                                  <w:i/>
                                  <w:color w:val="181617" w:themeColor="text2"/>
                                  <w:sz w:val="20"/>
                                </w:rPr>
                                <w:t>Pronunciamiento de la FIGO: La atonía uterina y los uterotónicos en la hemorragia posparto</w:t>
                              </w:r>
                              <w:r w:rsidR="00DC2412" w:rsidRPr="009812CF">
                                <w:rPr>
                                  <w:i/>
                                  <w:color w:val="181617" w:themeColor="text2"/>
                                  <w:sz w:val="20"/>
                                </w:rPr>
                                <w:fldChar w:fldCharType="end"/>
                              </w:r>
                              <w:r>
                                <w:rPr>
                                  <w:i/>
                                  <w:color w:val="181617" w:themeColor="text2"/>
                                  <w:sz w:val="20"/>
                                </w:rPr>
                                <w:t xml:space="preserve">. </w:t>
                              </w:r>
                              <w:r>
                                <w:rPr>
                                  <w:color w:val="181617" w:themeColor="text2"/>
                                  <w:sz w:val="20"/>
                                </w:rPr>
                                <w:t xml:space="preserve">2023. Disponible en: </w:t>
                              </w:r>
                              <w:r w:rsidR="00823B61">
                                <w:fldChar w:fldCharType="begin"/>
                              </w:r>
                              <w:r w:rsidR="00823B61">
                                <w:instrText>HYPERLINK "https://www.figo.org/resources/figo-statements/harnessing-golden-hour-breastfeeding-recommended-within-first-hour-life"</w:instrText>
                              </w:r>
                              <w:r w:rsidR="00823B61">
                                <w:fldChar w:fldCharType="separate"/>
                              </w:r>
                              <w:hyperlink r:id="rId21" w:history="1">
                                <w:r w:rsidR="00A065D4" w:rsidRPr="00C95FA2">
                                  <w:rPr>
                                    <w:rStyle w:val="Hyperlink"/>
                                    <w:sz w:val="20"/>
                                  </w:rPr>
                                  <w:t>www.figo.org/resources/figo-statements/uterine-atony-and-uterotonics-postpartum-haemorrhage</w:t>
                                </w:r>
                              </w:hyperlink>
                            </w:p>
                            <w:p w14:paraId="6E800226" w14:textId="1DE11F35" w:rsidR="00A63E0D" w:rsidRPr="007E06B7" w:rsidRDefault="00823B61" w:rsidP="00A63E0D">
                              <w:pPr>
                                <w:rPr>
                                  <w:i/>
                                  <w:color w:val="181617" w:themeColor="text2"/>
                                  <w:sz w:val="20"/>
                                </w:rPr>
                              </w:pPr>
                              <w:r>
                                <w:rPr>
                                  <w:rStyle w:val="Hyperlink"/>
                                  <w:spacing w:val="-2"/>
                                  <w:sz w:val="20"/>
                                </w:rPr>
                                <w:fldChar w:fldCharType="end"/>
                              </w:r>
                              <w:r>
                                <w:rPr>
                                  <w:sz w:val="20"/>
                                </w:rPr>
                                <w:t xml:space="preserve"> </w:t>
                              </w:r>
                              <w:r>
                                <w:rPr>
                                  <w:color w:val="181617" w:themeColor="text2"/>
                                  <w:sz w:val="20"/>
                                </w:rPr>
                                <w:t xml:space="preserve"> </w:t>
                              </w:r>
                            </w:p>
                            <w:p w14:paraId="3FDF511C" w14:textId="77777777" w:rsidR="00A63E0D" w:rsidRPr="005D6E88" w:rsidRDefault="00A63E0D" w:rsidP="00A63E0D">
                              <w:pPr>
                                <w:rPr>
                                  <w:color w:val="00B084"/>
                                  <w:spacing w:val="-2"/>
                                  <w:sz w:val="20"/>
                                  <w:szCs w:val="20"/>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F21C1F" id="Group 27" o:spid="_x0000_s1029" style="position:absolute;margin-left:-56.7pt;margin-top:575.55pt;width:595.25pt;height:96.9pt;z-index:251655168" coordsize="75596,1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">
                <v:rect id="Rectangle 28" o:spid="_x0000_s1030" style="position:absolute;width:75596;height:12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" fillcolor="#e9f4ee [664]" stroked="f" strokeweight="1pt"/>
                <v:shape id="Text Box 29" o:spid="_x0000_s1031" type="#_x0000_t202" style="position:absolute;left:7147;top:1576;width:61264;height:9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4E5D5B2F" w14:textId="77777777" w:rsidR="00A63E0D" w:rsidRDefault="00A63E0D" w:rsidP="00A63E0D">
                        <w:pPr>
                          <w:spacing w:after="120"/>
                          <w:rPr>
                            <w:b/>
                            <w:bCs/>
                            <w:color w:val="00AD86" w:themeColor="accent1"/>
                            <w:sz w:val="21"/>
                            <w:szCs w:val="22"/>
                          </w:rPr>
                        </w:pPr>
                        <w:r>
                          <w:rPr>
                            <w:b/>
                            <w:color w:val="00AD86" w:themeColor="accent1"/>
                            <w:sz w:val="21"/>
                          </w:rPr>
                          <w:t>Referencia sobre este pronunciamiento</w:t>
                        </w:r>
                      </w:p>
                      <w:p w14:paraId="47BB5AD0" w14:textId="11A61285" w:rsidR="00D73695" w:rsidRPr="005D6E88" w:rsidRDefault="00A63E0D" w:rsidP="00D73695">
                        <w:pPr>
                          <w:rPr>
                            <w:color w:val="00B084"/>
                            <w:spacing w:val="-2"/>
                            <w:sz w:val="20"/>
                            <w:szCs w:val="20"/>
                            <w:u w:val="single"/>
                          </w:rPr>
                        </w:pPr>
                        <w:r>
                          <w:rPr>
                            <w:color w:val="181617" w:themeColor="text2"/>
                            <w:sz w:val="20"/>
                            <w:lang w:val="es-ES"/>
                          </w:rPr>
                          <w:t xml:space="preserve">International </w:t>
                        </w:r>
                        <w:proofErr w:type="spellStart"/>
                        <w:r>
                          <w:rPr>
                            <w:color w:val="181617" w:themeColor="text2"/>
                            <w:sz w:val="20"/>
                            <w:lang w:val="es-ES"/>
                          </w:rPr>
                          <w:t>Federation</w:t>
                        </w:r>
                        <w:proofErr w:type="spellEnd"/>
                        <w:r>
                          <w:rPr>
                            <w:color w:val="181617" w:themeColor="text2"/>
                            <w:sz w:val="20"/>
                            <w:lang w:val="es-ES"/>
                          </w:rPr>
                          <w:t xml:space="preserve"> </w:t>
                        </w:r>
                        <w:proofErr w:type="spellStart"/>
                        <w:r>
                          <w:rPr>
                            <w:color w:val="181617" w:themeColor="text2"/>
                            <w:sz w:val="20"/>
                            <w:lang w:val="es-ES"/>
                          </w:rPr>
                          <w:t>of</w:t>
                        </w:r>
                        <w:proofErr w:type="spellEnd"/>
                        <w:r>
                          <w:rPr>
                            <w:color w:val="181617" w:themeColor="text2"/>
                            <w:sz w:val="20"/>
                            <w:lang w:val="es-ES"/>
                          </w:rPr>
                          <w:t xml:space="preserve"> </w:t>
                        </w:r>
                        <w:proofErr w:type="spellStart"/>
                        <w:r>
                          <w:rPr>
                            <w:color w:val="181617" w:themeColor="text2"/>
                            <w:sz w:val="20"/>
                            <w:lang w:val="es-ES"/>
                          </w:rPr>
                          <w:t>Gynecology</w:t>
                        </w:r>
                        <w:proofErr w:type="spellEnd"/>
                        <w:r>
                          <w:rPr>
                            <w:color w:val="181617" w:themeColor="text2"/>
                            <w:sz w:val="20"/>
                            <w:lang w:val="es-ES"/>
                          </w:rPr>
                          <w:t xml:space="preserve"> and </w:t>
                        </w:r>
                        <w:proofErr w:type="spellStart"/>
                        <w:r>
                          <w:rPr>
                            <w:color w:val="181617" w:themeColor="text2"/>
                            <w:sz w:val="20"/>
                            <w:lang w:val="es-ES"/>
                          </w:rPr>
                          <w:t>Obstetrics</w:t>
                        </w:r>
                        <w:proofErr w:type="spellEnd"/>
                        <w:r>
                          <w:rPr>
                            <w:color w:val="181617" w:themeColor="text2"/>
                            <w:sz w:val="20"/>
                            <w:lang w:val="es-ES"/>
                          </w:rPr>
                          <w:t xml:space="preserve">. </w:t>
                        </w:r>
                        <w:r w:rsidR="00DC2412" w:rsidRPr="009812CF">
                          <w:rPr>
                            <w:i/>
                            <w:color w:val="181617" w:themeColor="text2"/>
                            <w:sz w:val="20"/>
                          </w:rPr>
                          <w:fldChar w:fldCharType="begin"/>
                        </w:r>
                        <w:r w:rsidR="00DC2412" w:rsidRPr="00FB2BA5">
                          <w:rPr>
                            <w:i/>
                            <w:color w:val="181617" w:themeColor="text2"/>
                            <w:sz w:val="20"/>
                          </w:rPr>
                          <w:instrText xml:space="preserve"> TITLE  \* MERGEFORMAT </w:instrText>
                        </w:r>
                        <w:r w:rsidR="00DC2412" w:rsidRPr="009812CF">
                          <w:rPr>
                            <w:i/>
                            <w:color w:val="181617" w:themeColor="text2"/>
                            <w:sz w:val="20"/>
                          </w:rPr>
                          <w:fldChar w:fldCharType="separate"/>
                        </w:r>
                        <w:r w:rsidR="00BB14A5">
                          <w:rPr>
                            <w:i/>
                            <w:color w:val="181617" w:themeColor="text2"/>
                            <w:sz w:val="20"/>
                          </w:rPr>
                          <w:t>Pronunciamiento de la FIGO: La atonía uterina y los uterotónicos en la hemorragia posparto</w:t>
                        </w:r>
                        <w:r w:rsidR="00DC2412" w:rsidRPr="009812CF">
                          <w:rPr>
                            <w:i/>
                            <w:color w:val="181617" w:themeColor="text2"/>
                            <w:sz w:val="20"/>
                          </w:rPr>
                          <w:fldChar w:fldCharType="end"/>
                        </w:r>
                        <w:r>
                          <w:rPr>
                            <w:i/>
                            <w:color w:val="181617" w:themeColor="text2"/>
                            <w:sz w:val="20"/>
                          </w:rPr>
                          <w:t xml:space="preserve">. </w:t>
                        </w:r>
                        <w:r>
                          <w:rPr>
                            <w:color w:val="181617" w:themeColor="text2"/>
                            <w:sz w:val="20"/>
                          </w:rPr>
                          <w:t xml:space="preserve">2023. Disponible en: </w:t>
                        </w:r>
                        <w:r w:rsidR="00823B61">
                          <w:fldChar w:fldCharType="begin"/>
                        </w:r>
                        <w:r w:rsidR="00823B61">
                          <w:instrText>HYPERLINK "https://www.figo.org/resources/figo-statements/harnessing-golden-hour-breastfeeding-recommended-within-first-hour-life"</w:instrText>
                        </w:r>
                        <w:r w:rsidR="00823B61">
                          <w:fldChar w:fldCharType="separate"/>
                        </w:r>
                        <w:hyperlink r:id="rId22" w:history="1">
                          <w:r w:rsidR="00A065D4" w:rsidRPr="00C95FA2">
                            <w:rPr>
                              <w:rStyle w:val="Hyperlink"/>
                              <w:sz w:val="20"/>
                            </w:rPr>
                            <w:t>www.figo.org/resources/figo-statements/uterine-atony-and-uterotonics-postpartum-haemorrhage</w:t>
                          </w:r>
                        </w:hyperlink>
                      </w:p>
                      <w:p w14:paraId="6E800226" w14:textId="1DE11F35" w:rsidR="00A63E0D" w:rsidRPr="007E06B7" w:rsidRDefault="00823B61" w:rsidP="00A63E0D">
                        <w:pPr>
                          <w:rPr>
                            <w:i/>
                            <w:color w:val="181617" w:themeColor="text2"/>
                            <w:sz w:val="20"/>
                          </w:rPr>
                        </w:pPr>
                        <w:r>
                          <w:rPr>
                            <w:rStyle w:val="Hyperlink"/>
                            <w:spacing w:val="-2"/>
                            <w:sz w:val="20"/>
                          </w:rPr>
                          <w:fldChar w:fldCharType="end"/>
                        </w:r>
                        <w:r>
                          <w:rPr>
                            <w:sz w:val="20"/>
                          </w:rPr>
                          <w:t xml:space="preserve"> </w:t>
                        </w:r>
                        <w:r>
                          <w:rPr>
                            <w:color w:val="181617" w:themeColor="text2"/>
                            <w:sz w:val="20"/>
                          </w:rPr>
                          <w:t xml:space="preserve"> </w:t>
                        </w:r>
                      </w:p>
                      <w:p w14:paraId="3FDF511C" w14:textId="77777777" w:rsidR="00A63E0D" w:rsidRPr="005D6E88" w:rsidRDefault="00A63E0D" w:rsidP="00A63E0D">
                        <w:pPr>
                          <w:rPr>
                            <w:color w:val="00B084"/>
                            <w:spacing w:val="-2"/>
                            <w:sz w:val="20"/>
                            <w:szCs w:val="20"/>
                            <w:u w:val="single"/>
                          </w:rPr>
                        </w:pPr>
                      </w:p>
                    </w:txbxContent>
                  </v:textbox>
                </v:shape>
                <w10:wrap type="topAndBottom"/>
              </v:group>
            </w:pict>
          </mc:Fallback>
        </mc:AlternateContent>
      </w:r>
    </w:p>
    <w:sectPr w:rsidR="00626985" w:rsidRPr="003614E7" w:rsidSect="004420B8">
      <w:endnotePr>
        <w:numFmt w:val="decimal"/>
      </w:endnotePr>
      <w:pgSz w:w="11906" w:h="16838"/>
      <w:pgMar w:top="1701" w:right="1134" w:bottom="851" w:left="1134" w:header="1418" w:footer="567" w:gutter="0"/>
      <w:cols w:space="720"/>
      <w:formProt w:val="0"/>
      <w:docGrid w:linePitch="299"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D42A" w14:textId="77777777" w:rsidR="000B089A" w:rsidRPr="009C6B7D" w:rsidRDefault="000B089A" w:rsidP="009C6B7D">
      <w:pPr>
        <w:spacing w:after="0" w:line="240" w:lineRule="auto"/>
        <w:rPr>
          <w:sz w:val="20"/>
          <w:szCs w:val="21"/>
        </w:rPr>
      </w:pPr>
    </w:p>
  </w:endnote>
  <w:endnote w:type="continuationSeparator" w:id="0">
    <w:p w14:paraId="7EC92B08" w14:textId="77777777" w:rsidR="000B089A" w:rsidRPr="004E52BD" w:rsidRDefault="000B089A" w:rsidP="00F577FF">
      <w:pPr>
        <w:rPr>
          <w:sz w:val="2"/>
          <w:szCs w:val="2"/>
        </w:rPr>
      </w:pPr>
    </w:p>
  </w:endnote>
  <w:endnote w:type="continuationNotice" w:id="1">
    <w:p w14:paraId="31E77DA0" w14:textId="77777777" w:rsidR="000B089A" w:rsidRDefault="000B0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D7F2" w14:textId="77777777" w:rsidR="00FA473C" w:rsidRDefault="00FA473C">
    <w:pPr>
      <w:pStyle w:val="Footer"/>
    </w:pPr>
  </w:p>
  <w:p w14:paraId="2FFE3F33" w14:textId="77777777" w:rsidR="00F57172" w:rsidRDefault="00F57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2C01" w14:textId="77777777" w:rsidR="007E0242" w:rsidRDefault="007E0242" w:rsidP="007E0242">
    <w:pPr>
      <w:pStyle w:val="Footer"/>
      <w:spacing w:after="0"/>
    </w:pPr>
    <w:r>
      <w:rPr>
        <w:noProof/>
      </w:rPr>
      <mc:AlternateContent>
        <mc:Choice Requires="wps">
          <w:drawing>
            <wp:anchor distT="0" distB="0" distL="0" distR="0" simplePos="0" relativeHeight="251677702" behindDoc="1" locked="0" layoutInCell="1" allowOverlap="1" wp14:anchorId="6D45462D" wp14:editId="15A22343">
              <wp:simplePos x="0" y="0"/>
              <wp:positionH relativeFrom="column">
                <wp:posOffset>-741045</wp:posOffset>
              </wp:positionH>
              <wp:positionV relativeFrom="margin">
                <wp:posOffset>8782685</wp:posOffset>
              </wp:positionV>
              <wp:extent cx="7607935" cy="665026"/>
              <wp:effectExtent l="0" t="0" r="0" b="0"/>
              <wp:wrapNone/>
              <wp:docPr id="5" name="Shape1"/>
              <wp:cNvGraphicFramePr/>
              <a:graphic xmlns:a="http://schemas.openxmlformats.org/drawingml/2006/main">
                <a:graphicData uri="http://schemas.microsoft.com/office/word/2010/wordprocessingShape">
                  <wps:wsp>
                    <wps:cNvSpPr/>
                    <wps:spPr>
                      <a:xfrm>
                        <a:off x="0" y="0"/>
                        <a:ext cx="7607935" cy="665026"/>
                      </a:xfrm>
                      <a:prstGeom prst="rect">
                        <a:avLst/>
                      </a:prstGeom>
                      <a:solidFill>
                        <a:schemeClr val="accent1"/>
                      </a:solidFill>
                      <a:ln>
                        <a:noFill/>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xmlns:w16du="http://schemas.microsoft.com/office/word/2023/wordml/word16du">
          <w:pict>
            <v:rect w14:anchorId="39825D51" id="Shape1" o:spid="_x0000_s1026" style="position:absolute;margin-left:-58.35pt;margin-top:691.55pt;width:599.05pt;height:52.35pt;z-index:-251638778;visibility:visible;mso-wrap-style:square;mso-height-percent:0;mso-wrap-distance-left:0;mso-wrap-distance-top:0;mso-wrap-distance-right:0;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" fillcolor="#00ad86 [3204]" stroked="f">
              <w10:wrap anchory="margin"/>
            </v:rect>
          </w:pict>
        </mc:Fallback>
      </mc:AlternateContent>
    </w:r>
    <w:r>
      <w:br/>
    </w:r>
  </w:p>
  <w:p w14:paraId="513110CF" w14:textId="77777777" w:rsidR="007E0242" w:rsidRDefault="007E0242" w:rsidP="007E0242">
    <w:pPr>
      <w:pStyle w:val="Footer"/>
      <w:spacing w:after="0"/>
    </w:pPr>
    <w:r>
      <w:rPr>
        <w:noProof/>
      </w:rPr>
      <mc:AlternateContent>
        <mc:Choice Requires="wps">
          <w:drawing>
            <wp:anchor distT="0" distB="0" distL="0" distR="0" simplePos="0" relativeHeight="251678726" behindDoc="1" locked="0" layoutInCell="1" allowOverlap="1" wp14:anchorId="082F7F02" wp14:editId="21283603">
              <wp:simplePos x="0" y="0"/>
              <wp:positionH relativeFrom="margin">
                <wp:posOffset>-150495</wp:posOffset>
              </wp:positionH>
              <wp:positionV relativeFrom="paragraph">
                <wp:posOffset>95613</wp:posOffset>
              </wp:positionV>
              <wp:extent cx="6418800" cy="190800"/>
              <wp:effectExtent l="0" t="0" r="7620" b="0"/>
              <wp:wrapNone/>
              <wp:docPr id="6" name="Shape2"/>
              <wp:cNvGraphicFramePr/>
              <a:graphic xmlns:a="http://schemas.openxmlformats.org/drawingml/2006/main">
                <a:graphicData uri="http://schemas.microsoft.com/office/word/2010/wordprocessingShape">
                  <wps:wsp>
                    <wps:cNvSpPr/>
                    <wps:spPr>
                      <a:xfrm>
                        <a:off x="0" y="0"/>
                        <a:ext cx="6418800" cy="190800"/>
                      </a:xfrm>
                      <a:prstGeom prst="rect">
                        <a:avLst/>
                      </a:prstGeom>
                      <a:noFill/>
                      <a:ln>
                        <a:noFill/>
                      </a:ln>
                    </wps:spPr>
                    <wps:style>
                      <a:lnRef idx="0">
                        <a:scrgbClr r="0" g="0" b="0"/>
                      </a:lnRef>
                      <a:fillRef idx="0">
                        <a:scrgbClr r="0" g="0" b="0"/>
                      </a:fillRef>
                      <a:effectRef idx="0">
                        <a:scrgbClr r="0" g="0" b="0"/>
                      </a:effectRef>
                      <a:fontRef idx="minor"/>
                    </wps:style>
                    <wps:txbx>
                      <w:txbxContent>
                        <w:p w14:paraId="4DE7A613" w14:textId="77777777" w:rsidR="007E0242" w:rsidRPr="00BB14A5" w:rsidRDefault="007E0242" w:rsidP="007E0242">
                          <w:pPr>
                            <w:pStyle w:val="FrameContents"/>
                            <w:rPr>
                              <w:sz w:val="24"/>
                              <w:szCs w:val="28"/>
                            </w:rPr>
                          </w:pPr>
                          <w:r w:rsidRPr="00BB14A5">
                            <w:rPr>
                              <w:sz w:val="24"/>
                            </w:rPr>
                            <w:t>Federación Internacional de Ginecología y Obstetricia</w:t>
                          </w:r>
                          <w:r w:rsidRPr="00BB14A5">
                            <w:rPr>
                              <w:color w:val="FFFFFF" w:themeColor="background1"/>
                              <w:sz w:val="24"/>
                            </w:rPr>
                            <w:tab/>
                          </w:r>
                          <w:r w:rsidRPr="00BB14A5">
                            <w:rPr>
                              <w:color w:val="FFFFFF" w:themeColor="background1"/>
                              <w:sz w:val="24"/>
                            </w:rPr>
                            <w:tab/>
                            <w:t xml:space="preserve"> www.figo.org | @FIGOHQ</w:t>
                          </w:r>
                        </w:p>
                        <w:p w14:paraId="4ADB034A" w14:textId="77777777" w:rsidR="007E0242" w:rsidRPr="00BB14A5" w:rsidRDefault="007E0242" w:rsidP="007E0242">
                          <w:pPr>
                            <w:pStyle w:val="FrameContents"/>
                            <w:rPr>
                              <w:sz w:val="24"/>
                              <w:szCs w:val="28"/>
                            </w:rPr>
                          </w:pP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82F7F02" id="Shape2" o:spid="_x0000_s1033" style="position:absolute;margin-left:-11.85pt;margin-top:7.55pt;width:505.4pt;height:15pt;z-index:-25163775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" filled="f" stroked="f">
              <v:textbox inset="0,0,0,0">
                <w:txbxContent>
                  <w:p w14:paraId="4DE7A613" w14:textId="77777777" w:rsidR="007E0242" w:rsidRPr="00BB14A5" w:rsidRDefault="007E0242" w:rsidP="007E0242">
                    <w:pPr>
                      <w:pStyle w:val="FrameContents"/>
                      <w:rPr>
                        <w:sz w:val="24"/>
                        <w:szCs w:val="28"/>
                      </w:rPr>
                    </w:pPr>
                    <w:r w:rsidRPr="00BB14A5">
                      <w:rPr>
                        <w:sz w:val="24"/>
                      </w:rPr>
                      <w:t>Federación Internacional de Ginecología y Obstetricia</w:t>
                    </w:r>
                    <w:r w:rsidRPr="00BB14A5">
                      <w:rPr>
                        <w:color w:val="FFFFFF" w:themeColor="background1"/>
                        <w:sz w:val="24"/>
                      </w:rPr>
                      <w:tab/>
                    </w:r>
                    <w:r w:rsidRPr="00BB14A5">
                      <w:rPr>
                        <w:color w:val="FFFFFF" w:themeColor="background1"/>
                        <w:sz w:val="24"/>
                      </w:rPr>
                      <w:tab/>
                      <w:t xml:space="preserve"> www.figo.org | @FIGOHQ</w:t>
                    </w:r>
                  </w:p>
                  <w:p w14:paraId="4ADB034A" w14:textId="77777777" w:rsidR="007E0242" w:rsidRPr="00BB14A5" w:rsidRDefault="007E0242" w:rsidP="007E0242">
                    <w:pPr>
                      <w:pStyle w:val="FrameContents"/>
                      <w:rPr>
                        <w:sz w:val="24"/>
                        <w:szCs w:val="28"/>
                      </w:rPr>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806A" w14:textId="77777777" w:rsidR="00FA473C" w:rsidRDefault="00FA473C">
    <w:pPr>
      <w:pStyle w:val="Footer"/>
    </w:pPr>
  </w:p>
  <w:p w14:paraId="14D453CD" w14:textId="77777777" w:rsidR="00F57172" w:rsidRDefault="00F57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B54A" w14:textId="77777777" w:rsidR="000B089A" w:rsidRDefault="000B089A" w:rsidP="00F577FF">
      <w:r>
        <w:separator/>
      </w:r>
    </w:p>
  </w:footnote>
  <w:footnote w:type="continuationSeparator" w:id="0">
    <w:p w14:paraId="3ECE3A48" w14:textId="77777777" w:rsidR="000B089A" w:rsidRDefault="000B089A" w:rsidP="00F577FF">
      <w:r>
        <w:continuationSeparator/>
      </w:r>
    </w:p>
  </w:footnote>
  <w:footnote w:type="continuationNotice" w:id="1">
    <w:p w14:paraId="4934E647" w14:textId="77777777" w:rsidR="000B089A" w:rsidRDefault="000B0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7CA6" w14:textId="77777777" w:rsidR="00FA473C" w:rsidRDefault="00FA473C"/>
  <w:p w14:paraId="0F0FAD92" w14:textId="77777777" w:rsidR="00F57172" w:rsidRDefault="00F571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C4CA" w14:textId="5797F295" w:rsidR="007E0242" w:rsidRDefault="00192AC8" w:rsidP="005D0E60">
    <w:pPr>
      <w:pStyle w:val="Index"/>
    </w:pPr>
    <w:r>
      <w:drawing>
        <wp:anchor distT="0" distB="0" distL="114300" distR="114300" simplePos="0" relativeHeight="251670533" behindDoc="0" locked="0" layoutInCell="1" allowOverlap="1" wp14:anchorId="275E423A" wp14:editId="39DC683E">
          <wp:simplePos x="0" y="0"/>
          <wp:positionH relativeFrom="column">
            <wp:posOffset>4653552</wp:posOffset>
          </wp:positionH>
          <wp:positionV relativeFrom="paragraph">
            <wp:posOffset>-786130</wp:posOffset>
          </wp:positionV>
          <wp:extent cx="1605368" cy="804273"/>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5368" cy="804273"/>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182880" distB="182880" distL="182880" distR="182880" simplePos="0" relativeHeight="251674630" behindDoc="0" locked="0" layoutInCell="1" allowOverlap="1" wp14:anchorId="24B1DD10" wp14:editId="7B4212B8">
              <wp:simplePos x="0" y="0"/>
              <wp:positionH relativeFrom="column">
                <wp:posOffset>-123825</wp:posOffset>
              </wp:positionH>
              <wp:positionV relativeFrom="paragraph">
                <wp:posOffset>-535940</wp:posOffset>
              </wp:positionV>
              <wp:extent cx="3786505" cy="67246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786505" cy="672465"/>
                      </a:xfrm>
                      <a:prstGeom prst="rect">
                        <a:avLst/>
                      </a:prstGeom>
                      <a:noFill/>
                      <a:ln w="6350">
                        <a:noFill/>
                      </a:ln>
                    </wps:spPr>
                    <wps:txbx>
                      <w:txbxContent>
                        <w:p w14:paraId="1F8D6F00" w14:textId="77777777" w:rsidR="007E0242" w:rsidRPr="00BB14A5" w:rsidRDefault="007E0242" w:rsidP="00260C78">
                          <w:pPr>
                            <w:spacing w:after="0"/>
                            <w:rPr>
                              <w:b/>
                              <w:color w:val="00AD86"/>
                              <w:sz w:val="36"/>
                              <w:szCs w:val="36"/>
                            </w:rPr>
                          </w:pPr>
                          <w:r w:rsidRPr="00BB14A5">
                            <w:rPr>
                              <w:b/>
                              <w:color w:val="00AD86"/>
                              <w:sz w:val="36"/>
                            </w:rPr>
                            <w:t>Pronunciamiento de la FIGO</w:t>
                          </w:r>
                        </w:p>
                        <w:p w14:paraId="0FE8049B" w14:textId="5B005EA2" w:rsidR="007E0242" w:rsidRPr="00BB14A5" w:rsidRDefault="0078218E" w:rsidP="00260C78">
                          <w:pPr>
                            <w:spacing w:after="0"/>
                            <w:rPr>
                              <w:color w:val="00AD86"/>
                              <w:sz w:val="24"/>
                            </w:rPr>
                          </w:pPr>
                          <w:r w:rsidRPr="00BB14A5">
                            <w:t>Octubre de 2023</w:t>
                          </w:r>
                        </w:p>
                        <w:p w14:paraId="53056B39" w14:textId="77777777" w:rsidR="007E0242" w:rsidRPr="00BB14A5" w:rsidRDefault="007E0242" w:rsidP="005D0E60">
                          <w:pPr>
                            <w:pStyle w:val="Index"/>
                            <w:rPr>
                              <w:color w:val="00AD86"/>
                              <w:lang w:val="es-ES"/>
                            </w:rPr>
                          </w:pPr>
                        </w:p>
                        <w:p w14:paraId="11EF5D66" w14:textId="77777777" w:rsidR="007E0242" w:rsidRPr="00BB14A5" w:rsidRDefault="007E0242" w:rsidP="005D0E60">
                          <w:pPr>
                            <w:pStyle w:val="Index"/>
                            <w:rPr>
                              <w:color w:val="00AD8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B1DD10" id="_x0000_t202" coordsize="21600,21600" o:spt="202" path="m,l,21600r21600,l21600,xe">
              <v:stroke joinstyle="miter"/>
              <v:path gradientshapeok="t" o:connecttype="rect"/>
            </v:shapetype>
            <v:shape id="Text Box 17" o:spid="_x0000_s1032" type="#_x0000_t202" style="position:absolute;margin-left:-9.75pt;margin-top:-42.2pt;width:298.15pt;height:52.95pt;z-index:251674630;visibility:visible;mso-wrap-style:square;mso-height-percent:0;mso-wrap-distance-left:14.4pt;mso-wrap-distance-top:14.4pt;mso-wrap-distance-right:14.4pt;mso-wrap-distance-bottom:14.4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" filled="f" stroked="f" strokeweight=".5pt">
              <v:textbox>
                <w:txbxContent>
                  <w:p w14:paraId="1F8D6F00" w14:textId="77777777" w:rsidR="007E0242" w:rsidRPr="00BB14A5" w:rsidRDefault="007E0242" w:rsidP="00260C78">
                    <w:pPr>
                      <w:spacing w:after="0"/>
                      <w:rPr>
                        <w:b/>
                        <w:color w:val="00AD86"/>
                        <w:sz w:val="36"/>
                        <w:szCs w:val="36"/>
                      </w:rPr>
                    </w:pPr>
                    <w:r w:rsidRPr="00BB14A5">
                      <w:rPr>
                        <w:b/>
                        <w:color w:val="00AD86"/>
                        <w:sz w:val="36"/>
                      </w:rPr>
                      <w:t>Pronunciamiento de la FIGO</w:t>
                    </w:r>
                  </w:p>
                  <w:p w14:paraId="0FE8049B" w14:textId="5B005EA2" w:rsidR="007E0242" w:rsidRPr="00BB14A5" w:rsidRDefault="0078218E" w:rsidP="00260C78">
                    <w:pPr>
                      <w:spacing w:after="0"/>
                      <w:rPr>
                        <w:color w:val="00AD86"/>
                        <w:sz w:val="24"/>
                      </w:rPr>
                    </w:pPr>
                    <w:r w:rsidRPr="00BB14A5">
                      <w:t>Octubre de 2023</w:t>
                    </w:r>
                  </w:p>
                  <w:p w14:paraId="53056B39" w14:textId="77777777" w:rsidR="007E0242" w:rsidRPr="00BB14A5" w:rsidRDefault="007E0242" w:rsidP="005D0E60">
                    <w:pPr>
                      <w:pStyle w:val="Index"/>
                      <w:rPr>
                        <w:color w:val="00AD86"/>
                        <w:lang w:val="es-ES"/>
                      </w:rPr>
                    </w:pPr>
                  </w:p>
                  <w:p w14:paraId="11EF5D66" w14:textId="77777777" w:rsidR="007E0242" w:rsidRPr="00BB14A5" w:rsidRDefault="007E0242" w:rsidP="005D0E60">
                    <w:pPr>
                      <w:pStyle w:val="Index"/>
                      <w:rPr>
                        <w:color w:val="00AD86"/>
                        <w:lang w:val="es-ES"/>
                      </w:rPr>
                    </w:pPr>
                  </w:p>
                </w:txbxContent>
              </v:textbox>
            </v:shape>
          </w:pict>
        </mc:Fallback>
      </mc:AlternateContent>
    </w:r>
    <w:r>
      <w:t xml:space="preserve"> </w:t>
    </w:r>
    <w:r>
      <mc:AlternateContent>
        <mc:Choice Requires="wps">
          <w:drawing>
            <wp:anchor distT="182880" distB="182880" distL="182880" distR="182880" simplePos="0" relativeHeight="251673606" behindDoc="0" locked="0" layoutInCell="1" allowOverlap="1" wp14:anchorId="3335BEBC" wp14:editId="2FE2EEB1">
              <wp:simplePos x="0" y="0"/>
              <wp:positionH relativeFrom="column">
                <wp:posOffset>-55856</wp:posOffset>
              </wp:positionH>
              <wp:positionV relativeFrom="paragraph">
                <wp:posOffset>57102</wp:posOffset>
              </wp:positionV>
              <wp:extent cx="6221442" cy="17253"/>
              <wp:effectExtent l="12700" t="25400" r="27305" b="33655"/>
              <wp:wrapNone/>
              <wp:docPr id="18" name="Straight Connector 18"/>
              <wp:cNvGraphicFramePr/>
              <a:graphic xmlns:a="http://schemas.openxmlformats.org/drawingml/2006/main">
                <a:graphicData uri="http://schemas.microsoft.com/office/word/2010/wordprocessingShape">
                  <wps:wsp>
                    <wps:cNvCnPr/>
                    <wps:spPr>
                      <a:xfrm flipV="1">
                        <a:off x="0" y="0"/>
                        <a:ext cx="6221442" cy="17253"/>
                      </a:xfrm>
                      <a:prstGeom prst="line">
                        <a:avLst/>
                      </a:prstGeom>
                      <a:ln w="47625">
                        <a:solidFill>
                          <a:srgbClr val="00B0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30B671C" id="Straight Connector 18" o:spid="_x0000_s1026" style="position:absolute;flip:y;z-index:251673606;visibility:visible;mso-wrap-style:square;mso-width-percent:0;mso-height-percent:0;mso-wrap-distance-left:14.4pt;mso-wrap-distance-top:14.4pt;mso-wrap-distance-right:14.4pt;mso-wrap-distance-bottom:14.4pt;mso-position-horizontal:absolute;mso-position-horizontal-relative:text;mso-position-vertical:absolute;mso-position-vertical-relative:text;mso-width-percent:0;mso-height-percent:0;mso-width-relative:margin;mso-height-relative:margin" from="-4.4pt,4.5pt" to="48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" strokecolor="#00b084" strokeweight="3.75pt">
              <v:stroke joinstyle="miter"/>
            </v:line>
          </w:pict>
        </mc:Fallback>
      </mc:AlternateContent>
    </w:r>
    <w:r>
      <mc:AlternateContent>
        <mc:Choice Requires="wps">
          <w:drawing>
            <wp:anchor distT="182880" distB="182880" distL="182880" distR="182880" simplePos="0" relativeHeight="251672582" behindDoc="0" locked="0" layoutInCell="1" allowOverlap="1" wp14:anchorId="2FEBBF37" wp14:editId="02135C54">
              <wp:simplePos x="0" y="0"/>
              <wp:positionH relativeFrom="margin">
                <wp:posOffset>-185420</wp:posOffset>
              </wp:positionH>
              <wp:positionV relativeFrom="margin">
                <wp:posOffset>-713105</wp:posOffset>
              </wp:positionV>
              <wp:extent cx="6417945" cy="17145"/>
              <wp:effectExtent l="1270" t="2540" r="635" b="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7945" cy="1714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A01D2B" id="_x0000_t32" coordsize="21600,21600" o:spt="32" o:oned="t" path="m,l21600,21600e" filled="f">
              <v:path arrowok="t" fillok="f" o:connecttype="none"/>
              <o:lock v:ext="edit" shapetype="t"/>
            </v:shapetype>
            <v:shape id="AutoShape 2" o:spid="_x0000_s1026" type="#_x0000_t32" style="position:absolute;margin-left:-14.6pt;margin-top:-56.15pt;width:505.35pt;height:1.35pt;flip:y;z-index:25167258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" stroked="f" strokeweight=".5pt">
              <w10:wrap anchorx="margin" anchory="margin"/>
            </v:shape>
          </w:pict>
        </mc:Fallback>
      </mc:AlternateContent>
    </w:r>
    <w:r>
      <mc:AlternateContent>
        <mc:Choice Requires="wps">
          <w:drawing>
            <wp:anchor distT="182880" distB="182880" distL="182880" distR="182880" simplePos="0" relativeHeight="251671558" behindDoc="0" locked="0" layoutInCell="1" allowOverlap="1" wp14:anchorId="3BC9B099" wp14:editId="4388AC42">
              <wp:simplePos x="0" y="0"/>
              <wp:positionH relativeFrom="margin">
                <wp:posOffset>-55880</wp:posOffset>
              </wp:positionH>
              <wp:positionV relativeFrom="margin">
                <wp:posOffset>-635000</wp:posOffset>
              </wp:positionV>
              <wp:extent cx="6254115" cy="8255"/>
              <wp:effectExtent l="0" t="4445" r="0" b="0"/>
              <wp:wrapNone/>
              <wp:docPr id="2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115" cy="825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774008" id="AutoShape 1" o:spid="_x0000_s1026" type="#_x0000_t32" style="position:absolute;margin-left:-4.4pt;margin-top:-50pt;width:492.45pt;height:.65pt;z-index:251671558;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" stroked="f" strokeweight=".5pt">
              <w10:wrap anchorx="margin" anchory="margin"/>
            </v:shape>
          </w:pict>
        </mc:Fallback>
      </mc:AlternateContent>
    </w:r>
    <w:r>
      <w:tab/>
    </w:r>
  </w:p>
  <w:p w14:paraId="47013FD1" w14:textId="77777777" w:rsidR="007E0242" w:rsidRPr="005D0E60" w:rsidRDefault="007E0242" w:rsidP="005D0E60">
    <w:pPr>
      <w:pStyle w:val="Index"/>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5A2" w14:textId="77777777" w:rsidR="00FA473C" w:rsidRDefault="00FA473C"/>
  <w:p w14:paraId="0B00F061" w14:textId="77777777" w:rsidR="00F57172" w:rsidRDefault="00F57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00D5"/>
    <w:multiLevelType w:val="hybridMultilevel"/>
    <w:tmpl w:val="4200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0F72"/>
    <w:multiLevelType w:val="hybridMultilevel"/>
    <w:tmpl w:val="BFFA6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67733"/>
    <w:multiLevelType w:val="hybridMultilevel"/>
    <w:tmpl w:val="9322FD76"/>
    <w:lvl w:ilvl="0" w:tplc="7FF45A02">
      <w:start w:val="1"/>
      <w:numFmt w:val="bullet"/>
      <w:pStyle w:val="ListParagraph"/>
      <w:lvlText w:val=""/>
      <w:lvlJc w:val="left"/>
      <w:pPr>
        <w:ind w:left="454" w:hanging="454"/>
      </w:pPr>
      <w:rPr>
        <w:rFonts w:ascii="Symbol" w:hAnsi="Symbol" w:hint="default"/>
        <w:color w:val="00B08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B7775"/>
    <w:multiLevelType w:val="hybridMultilevel"/>
    <w:tmpl w:val="FE769FA6"/>
    <w:lvl w:ilvl="0" w:tplc="1A62996E">
      <w:start w:val="1"/>
      <w:numFmt w:val="decimal"/>
      <w:lvlText w:val="%1."/>
      <w:lvlJc w:val="left"/>
      <w:pPr>
        <w:ind w:left="360" w:hanging="360"/>
      </w:pPr>
      <w:rPr>
        <w:rFonts w:hint="default"/>
        <w:color w:val="00AD86"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A241BD"/>
    <w:multiLevelType w:val="hybridMultilevel"/>
    <w:tmpl w:val="55A05F1C"/>
    <w:lvl w:ilvl="0" w:tplc="A33CAD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687974"/>
    <w:multiLevelType w:val="hybridMultilevel"/>
    <w:tmpl w:val="0E2AA616"/>
    <w:lvl w:ilvl="0" w:tplc="1CEE3D3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DE5541"/>
    <w:multiLevelType w:val="hybridMultilevel"/>
    <w:tmpl w:val="DB1A2BDA"/>
    <w:lvl w:ilvl="0" w:tplc="E8221B66">
      <w:start w:val="1"/>
      <w:numFmt w:val="bullet"/>
      <w:lvlText w:val=""/>
      <w:lvlJc w:val="left"/>
      <w:pPr>
        <w:tabs>
          <w:tab w:val="num" w:pos="720"/>
        </w:tabs>
        <w:ind w:left="720" w:hanging="360"/>
      </w:pPr>
      <w:rPr>
        <w:rFonts w:ascii="Symbol" w:hAnsi="Symbol" w:hint="default"/>
        <w:sz w:val="20"/>
      </w:rPr>
    </w:lvl>
    <w:lvl w:ilvl="1" w:tplc="6FD47206" w:tentative="1">
      <w:start w:val="1"/>
      <w:numFmt w:val="bullet"/>
      <w:lvlText w:val="o"/>
      <w:lvlJc w:val="left"/>
      <w:pPr>
        <w:tabs>
          <w:tab w:val="num" w:pos="1440"/>
        </w:tabs>
        <w:ind w:left="1440" w:hanging="360"/>
      </w:pPr>
      <w:rPr>
        <w:rFonts w:ascii="Courier New" w:hAnsi="Courier New" w:hint="default"/>
        <w:sz w:val="20"/>
      </w:rPr>
    </w:lvl>
    <w:lvl w:ilvl="2" w:tplc="C0FC18FC" w:tentative="1">
      <w:start w:val="1"/>
      <w:numFmt w:val="bullet"/>
      <w:lvlText w:val=""/>
      <w:lvlJc w:val="left"/>
      <w:pPr>
        <w:tabs>
          <w:tab w:val="num" w:pos="2160"/>
        </w:tabs>
        <w:ind w:left="2160" w:hanging="360"/>
      </w:pPr>
      <w:rPr>
        <w:rFonts w:ascii="Wingdings" w:hAnsi="Wingdings" w:hint="default"/>
        <w:sz w:val="20"/>
      </w:rPr>
    </w:lvl>
    <w:lvl w:ilvl="3" w:tplc="0538A7D2" w:tentative="1">
      <w:start w:val="1"/>
      <w:numFmt w:val="bullet"/>
      <w:lvlText w:val=""/>
      <w:lvlJc w:val="left"/>
      <w:pPr>
        <w:tabs>
          <w:tab w:val="num" w:pos="2880"/>
        </w:tabs>
        <w:ind w:left="2880" w:hanging="360"/>
      </w:pPr>
      <w:rPr>
        <w:rFonts w:ascii="Wingdings" w:hAnsi="Wingdings" w:hint="default"/>
        <w:sz w:val="20"/>
      </w:rPr>
    </w:lvl>
    <w:lvl w:ilvl="4" w:tplc="95706478" w:tentative="1">
      <w:start w:val="1"/>
      <w:numFmt w:val="bullet"/>
      <w:lvlText w:val=""/>
      <w:lvlJc w:val="left"/>
      <w:pPr>
        <w:tabs>
          <w:tab w:val="num" w:pos="3600"/>
        </w:tabs>
        <w:ind w:left="3600" w:hanging="360"/>
      </w:pPr>
      <w:rPr>
        <w:rFonts w:ascii="Wingdings" w:hAnsi="Wingdings" w:hint="default"/>
        <w:sz w:val="20"/>
      </w:rPr>
    </w:lvl>
    <w:lvl w:ilvl="5" w:tplc="A4F84F10" w:tentative="1">
      <w:start w:val="1"/>
      <w:numFmt w:val="bullet"/>
      <w:lvlText w:val=""/>
      <w:lvlJc w:val="left"/>
      <w:pPr>
        <w:tabs>
          <w:tab w:val="num" w:pos="4320"/>
        </w:tabs>
        <w:ind w:left="4320" w:hanging="360"/>
      </w:pPr>
      <w:rPr>
        <w:rFonts w:ascii="Wingdings" w:hAnsi="Wingdings" w:hint="default"/>
        <w:sz w:val="20"/>
      </w:rPr>
    </w:lvl>
    <w:lvl w:ilvl="6" w:tplc="77EAC64E" w:tentative="1">
      <w:start w:val="1"/>
      <w:numFmt w:val="bullet"/>
      <w:lvlText w:val=""/>
      <w:lvlJc w:val="left"/>
      <w:pPr>
        <w:tabs>
          <w:tab w:val="num" w:pos="5040"/>
        </w:tabs>
        <w:ind w:left="5040" w:hanging="360"/>
      </w:pPr>
      <w:rPr>
        <w:rFonts w:ascii="Wingdings" w:hAnsi="Wingdings" w:hint="default"/>
        <w:sz w:val="20"/>
      </w:rPr>
    </w:lvl>
    <w:lvl w:ilvl="7" w:tplc="1BCE20DE" w:tentative="1">
      <w:start w:val="1"/>
      <w:numFmt w:val="bullet"/>
      <w:lvlText w:val=""/>
      <w:lvlJc w:val="left"/>
      <w:pPr>
        <w:tabs>
          <w:tab w:val="num" w:pos="5760"/>
        </w:tabs>
        <w:ind w:left="5760" w:hanging="360"/>
      </w:pPr>
      <w:rPr>
        <w:rFonts w:ascii="Wingdings" w:hAnsi="Wingdings" w:hint="default"/>
        <w:sz w:val="20"/>
      </w:rPr>
    </w:lvl>
    <w:lvl w:ilvl="8" w:tplc="5FCA39B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731FF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4B640F0"/>
    <w:multiLevelType w:val="hybridMultilevel"/>
    <w:tmpl w:val="00D64E10"/>
    <w:lvl w:ilvl="0" w:tplc="3FB42D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972119">
    <w:abstractNumId w:val="6"/>
  </w:num>
  <w:num w:numId="2" w16cid:durableId="1247151243">
    <w:abstractNumId w:val="8"/>
  </w:num>
  <w:num w:numId="3" w16cid:durableId="431509701">
    <w:abstractNumId w:val="4"/>
  </w:num>
  <w:num w:numId="4" w16cid:durableId="1105417529">
    <w:abstractNumId w:val="2"/>
  </w:num>
  <w:num w:numId="5" w16cid:durableId="1731683269">
    <w:abstractNumId w:val="2"/>
  </w:num>
  <w:num w:numId="6" w16cid:durableId="293218420">
    <w:abstractNumId w:val="7"/>
  </w:num>
  <w:num w:numId="7" w16cid:durableId="1807039603">
    <w:abstractNumId w:val="0"/>
  </w:num>
  <w:num w:numId="8" w16cid:durableId="482507457">
    <w:abstractNumId w:val="5"/>
  </w:num>
  <w:num w:numId="9" w16cid:durableId="541941294">
    <w:abstractNumId w:val="1"/>
  </w:num>
  <w:num w:numId="10" w16cid:durableId="448084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hdrShapeDefaults>
    <o:shapedefaults v:ext="edit" spidmax="2050" style="mso-position-horizontal-relative:margin;mso-position-vertical-relative:margin;mso-width-percent:385;mso-width-relative:margin;mso-height-relative:margin" fillcolor="none [3214]" stroke="f">
      <v:fill color="none [3214]"/>
      <v:stroke weight=".5pt" on="f"/>
      <v:textbox style="mso-fit-shape-to-text:t" inset=",0,,0"/>
    </o:shapedefaults>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UwNDM3MTCxMDVV0lEKTi0uzszPAykwrAUAzO6LZSwAAAA="/>
  </w:docVars>
  <w:rsids>
    <w:rsidRoot w:val="00E60D3C"/>
    <w:rsid w:val="000009E5"/>
    <w:rsid w:val="00001E84"/>
    <w:rsid w:val="00002E66"/>
    <w:rsid w:val="00006DD3"/>
    <w:rsid w:val="00007268"/>
    <w:rsid w:val="00012BB2"/>
    <w:rsid w:val="000201A2"/>
    <w:rsid w:val="00022498"/>
    <w:rsid w:val="00022850"/>
    <w:rsid w:val="00023D59"/>
    <w:rsid w:val="00024005"/>
    <w:rsid w:val="000253FA"/>
    <w:rsid w:val="00026CDF"/>
    <w:rsid w:val="00027199"/>
    <w:rsid w:val="00027280"/>
    <w:rsid w:val="0003141E"/>
    <w:rsid w:val="00031C48"/>
    <w:rsid w:val="00033798"/>
    <w:rsid w:val="00035C4F"/>
    <w:rsid w:val="00035C5C"/>
    <w:rsid w:val="0003620C"/>
    <w:rsid w:val="00036718"/>
    <w:rsid w:val="000368BF"/>
    <w:rsid w:val="000415BC"/>
    <w:rsid w:val="00044B13"/>
    <w:rsid w:val="00045957"/>
    <w:rsid w:val="0004787E"/>
    <w:rsid w:val="00051074"/>
    <w:rsid w:val="0005379F"/>
    <w:rsid w:val="00060736"/>
    <w:rsid w:val="00061649"/>
    <w:rsid w:val="0006190C"/>
    <w:rsid w:val="000619B1"/>
    <w:rsid w:val="000628AC"/>
    <w:rsid w:val="000631B1"/>
    <w:rsid w:val="000655E6"/>
    <w:rsid w:val="00065644"/>
    <w:rsid w:val="00070549"/>
    <w:rsid w:val="000711DA"/>
    <w:rsid w:val="000712D5"/>
    <w:rsid w:val="000717AC"/>
    <w:rsid w:val="00072F1A"/>
    <w:rsid w:val="000733FF"/>
    <w:rsid w:val="0007344C"/>
    <w:rsid w:val="00073D8C"/>
    <w:rsid w:val="00073FDA"/>
    <w:rsid w:val="000754CB"/>
    <w:rsid w:val="00083B7E"/>
    <w:rsid w:val="00084352"/>
    <w:rsid w:val="00085D9F"/>
    <w:rsid w:val="00086001"/>
    <w:rsid w:val="00086AAE"/>
    <w:rsid w:val="0009415A"/>
    <w:rsid w:val="00096427"/>
    <w:rsid w:val="00097737"/>
    <w:rsid w:val="000A0332"/>
    <w:rsid w:val="000A14B6"/>
    <w:rsid w:val="000A1941"/>
    <w:rsid w:val="000A2A4F"/>
    <w:rsid w:val="000A3A40"/>
    <w:rsid w:val="000A3D63"/>
    <w:rsid w:val="000A4020"/>
    <w:rsid w:val="000A522E"/>
    <w:rsid w:val="000A5F32"/>
    <w:rsid w:val="000A713B"/>
    <w:rsid w:val="000B089A"/>
    <w:rsid w:val="000B78F6"/>
    <w:rsid w:val="000C108D"/>
    <w:rsid w:val="000C131F"/>
    <w:rsid w:val="000C4D8D"/>
    <w:rsid w:val="000C51A6"/>
    <w:rsid w:val="000C5F65"/>
    <w:rsid w:val="000D0393"/>
    <w:rsid w:val="000D24D3"/>
    <w:rsid w:val="000D2D3A"/>
    <w:rsid w:val="000D41E8"/>
    <w:rsid w:val="000D4C1E"/>
    <w:rsid w:val="000E0A6B"/>
    <w:rsid w:val="000E1E41"/>
    <w:rsid w:val="000E2CEA"/>
    <w:rsid w:val="000E4BC1"/>
    <w:rsid w:val="000E7219"/>
    <w:rsid w:val="000F2FF1"/>
    <w:rsid w:val="000F552E"/>
    <w:rsid w:val="000F585D"/>
    <w:rsid w:val="000F6209"/>
    <w:rsid w:val="000F7AB1"/>
    <w:rsid w:val="000F7D8F"/>
    <w:rsid w:val="00101FF0"/>
    <w:rsid w:val="00102501"/>
    <w:rsid w:val="00103170"/>
    <w:rsid w:val="00103409"/>
    <w:rsid w:val="00104183"/>
    <w:rsid w:val="00104635"/>
    <w:rsid w:val="00105895"/>
    <w:rsid w:val="0010658E"/>
    <w:rsid w:val="00107422"/>
    <w:rsid w:val="00110518"/>
    <w:rsid w:val="0011223F"/>
    <w:rsid w:val="00116DEB"/>
    <w:rsid w:val="00117CDB"/>
    <w:rsid w:val="00117DAD"/>
    <w:rsid w:val="00121B59"/>
    <w:rsid w:val="001229DF"/>
    <w:rsid w:val="001240F7"/>
    <w:rsid w:val="00124331"/>
    <w:rsid w:val="001243CF"/>
    <w:rsid w:val="00124F11"/>
    <w:rsid w:val="00126619"/>
    <w:rsid w:val="00127F1F"/>
    <w:rsid w:val="00130A98"/>
    <w:rsid w:val="00132FD5"/>
    <w:rsid w:val="00134376"/>
    <w:rsid w:val="00134ACB"/>
    <w:rsid w:val="00134DF4"/>
    <w:rsid w:val="001379F4"/>
    <w:rsid w:val="0014113D"/>
    <w:rsid w:val="00141C36"/>
    <w:rsid w:val="00143ABA"/>
    <w:rsid w:val="00145386"/>
    <w:rsid w:val="001474FF"/>
    <w:rsid w:val="00147F77"/>
    <w:rsid w:val="00152D72"/>
    <w:rsid w:val="00153052"/>
    <w:rsid w:val="00153221"/>
    <w:rsid w:val="001570F9"/>
    <w:rsid w:val="00160191"/>
    <w:rsid w:val="001607FC"/>
    <w:rsid w:val="0016654C"/>
    <w:rsid w:val="00166A7F"/>
    <w:rsid w:val="0017059F"/>
    <w:rsid w:val="0017570D"/>
    <w:rsid w:val="0017589D"/>
    <w:rsid w:val="001770F6"/>
    <w:rsid w:val="00180072"/>
    <w:rsid w:val="00182702"/>
    <w:rsid w:val="00184166"/>
    <w:rsid w:val="00184911"/>
    <w:rsid w:val="00186912"/>
    <w:rsid w:val="00187962"/>
    <w:rsid w:val="00187F7C"/>
    <w:rsid w:val="00190F05"/>
    <w:rsid w:val="001914E6"/>
    <w:rsid w:val="0019211C"/>
    <w:rsid w:val="001921D2"/>
    <w:rsid w:val="00192769"/>
    <w:rsid w:val="00192AC8"/>
    <w:rsid w:val="0019311D"/>
    <w:rsid w:val="00195CA8"/>
    <w:rsid w:val="001A0C63"/>
    <w:rsid w:val="001A1ECA"/>
    <w:rsid w:val="001A2D1F"/>
    <w:rsid w:val="001A2DE0"/>
    <w:rsid w:val="001A3A36"/>
    <w:rsid w:val="001A4409"/>
    <w:rsid w:val="001A5204"/>
    <w:rsid w:val="001A68AD"/>
    <w:rsid w:val="001B1D26"/>
    <w:rsid w:val="001B32CE"/>
    <w:rsid w:val="001B4209"/>
    <w:rsid w:val="001B5FA2"/>
    <w:rsid w:val="001B6606"/>
    <w:rsid w:val="001B7EAB"/>
    <w:rsid w:val="001C0E57"/>
    <w:rsid w:val="001C16E3"/>
    <w:rsid w:val="001C17E8"/>
    <w:rsid w:val="001C2109"/>
    <w:rsid w:val="001C2BC2"/>
    <w:rsid w:val="001C4DDC"/>
    <w:rsid w:val="001C577B"/>
    <w:rsid w:val="001D0CD0"/>
    <w:rsid w:val="001D4226"/>
    <w:rsid w:val="001D67C1"/>
    <w:rsid w:val="001E2F5F"/>
    <w:rsid w:val="001E551F"/>
    <w:rsid w:val="001E7215"/>
    <w:rsid w:val="001E729D"/>
    <w:rsid w:val="001F02A2"/>
    <w:rsid w:val="001F56A5"/>
    <w:rsid w:val="001F5D55"/>
    <w:rsid w:val="001F787C"/>
    <w:rsid w:val="00200462"/>
    <w:rsid w:val="00201371"/>
    <w:rsid w:val="00202715"/>
    <w:rsid w:val="0020361F"/>
    <w:rsid w:val="00203E11"/>
    <w:rsid w:val="002057BC"/>
    <w:rsid w:val="00207848"/>
    <w:rsid w:val="00207BDA"/>
    <w:rsid w:val="00211731"/>
    <w:rsid w:val="002126AE"/>
    <w:rsid w:val="002154B4"/>
    <w:rsid w:val="002209E1"/>
    <w:rsid w:val="0022143F"/>
    <w:rsid w:val="00222965"/>
    <w:rsid w:val="00222CD5"/>
    <w:rsid w:val="00223E90"/>
    <w:rsid w:val="0022438F"/>
    <w:rsid w:val="00225206"/>
    <w:rsid w:val="0022572C"/>
    <w:rsid w:val="002260F4"/>
    <w:rsid w:val="002262B2"/>
    <w:rsid w:val="0022710E"/>
    <w:rsid w:val="00227F75"/>
    <w:rsid w:val="00232A8D"/>
    <w:rsid w:val="002370C5"/>
    <w:rsid w:val="00237CD9"/>
    <w:rsid w:val="00240AC0"/>
    <w:rsid w:val="002416C4"/>
    <w:rsid w:val="002501AE"/>
    <w:rsid w:val="00252292"/>
    <w:rsid w:val="002533DD"/>
    <w:rsid w:val="00253B03"/>
    <w:rsid w:val="002551AE"/>
    <w:rsid w:val="00260C78"/>
    <w:rsid w:val="002621CB"/>
    <w:rsid w:val="00262673"/>
    <w:rsid w:val="00263650"/>
    <w:rsid w:val="00265601"/>
    <w:rsid w:val="00270BC8"/>
    <w:rsid w:val="00272277"/>
    <w:rsid w:val="002742A3"/>
    <w:rsid w:val="00276AF4"/>
    <w:rsid w:val="00277539"/>
    <w:rsid w:val="00277CA7"/>
    <w:rsid w:val="0028047C"/>
    <w:rsid w:val="00283CED"/>
    <w:rsid w:val="00285E78"/>
    <w:rsid w:val="00286B59"/>
    <w:rsid w:val="00286C30"/>
    <w:rsid w:val="002877F7"/>
    <w:rsid w:val="0029014A"/>
    <w:rsid w:val="00290757"/>
    <w:rsid w:val="00292BE3"/>
    <w:rsid w:val="002946E0"/>
    <w:rsid w:val="00294BF2"/>
    <w:rsid w:val="002958E5"/>
    <w:rsid w:val="002972A0"/>
    <w:rsid w:val="002A0084"/>
    <w:rsid w:val="002A1AF4"/>
    <w:rsid w:val="002A30CA"/>
    <w:rsid w:val="002A3203"/>
    <w:rsid w:val="002A4F12"/>
    <w:rsid w:val="002A53B6"/>
    <w:rsid w:val="002A6785"/>
    <w:rsid w:val="002B0A3B"/>
    <w:rsid w:val="002B1CE9"/>
    <w:rsid w:val="002B1E79"/>
    <w:rsid w:val="002B2678"/>
    <w:rsid w:val="002B2EC7"/>
    <w:rsid w:val="002B63D1"/>
    <w:rsid w:val="002B6F32"/>
    <w:rsid w:val="002B775D"/>
    <w:rsid w:val="002C02ED"/>
    <w:rsid w:val="002C0B58"/>
    <w:rsid w:val="002C1349"/>
    <w:rsid w:val="002C2794"/>
    <w:rsid w:val="002C363E"/>
    <w:rsid w:val="002C6A83"/>
    <w:rsid w:val="002C6BC0"/>
    <w:rsid w:val="002D371F"/>
    <w:rsid w:val="002D4D37"/>
    <w:rsid w:val="002D64A4"/>
    <w:rsid w:val="002E1594"/>
    <w:rsid w:val="002E308D"/>
    <w:rsid w:val="002E32CE"/>
    <w:rsid w:val="002E49BA"/>
    <w:rsid w:val="002F0CB7"/>
    <w:rsid w:val="002F1126"/>
    <w:rsid w:val="002F1871"/>
    <w:rsid w:val="002F2351"/>
    <w:rsid w:val="002F2CFB"/>
    <w:rsid w:val="002F3F83"/>
    <w:rsid w:val="002F4240"/>
    <w:rsid w:val="002F49D0"/>
    <w:rsid w:val="002F4DF6"/>
    <w:rsid w:val="00301ABE"/>
    <w:rsid w:val="00302AB7"/>
    <w:rsid w:val="00302F96"/>
    <w:rsid w:val="003079A5"/>
    <w:rsid w:val="0031116B"/>
    <w:rsid w:val="0031177C"/>
    <w:rsid w:val="00313579"/>
    <w:rsid w:val="00315458"/>
    <w:rsid w:val="00316E90"/>
    <w:rsid w:val="00322D3C"/>
    <w:rsid w:val="00325DEB"/>
    <w:rsid w:val="003261C7"/>
    <w:rsid w:val="0032662B"/>
    <w:rsid w:val="00327031"/>
    <w:rsid w:val="00327413"/>
    <w:rsid w:val="00330F3A"/>
    <w:rsid w:val="00331768"/>
    <w:rsid w:val="00332203"/>
    <w:rsid w:val="00334661"/>
    <w:rsid w:val="003346E4"/>
    <w:rsid w:val="00334BA4"/>
    <w:rsid w:val="00335CC8"/>
    <w:rsid w:val="003407CC"/>
    <w:rsid w:val="00342029"/>
    <w:rsid w:val="003424CD"/>
    <w:rsid w:val="003450E1"/>
    <w:rsid w:val="00345201"/>
    <w:rsid w:val="003527CA"/>
    <w:rsid w:val="00357DDB"/>
    <w:rsid w:val="003614E7"/>
    <w:rsid w:val="00362099"/>
    <w:rsid w:val="0036353B"/>
    <w:rsid w:val="00365EDB"/>
    <w:rsid w:val="00366E75"/>
    <w:rsid w:val="00370A2E"/>
    <w:rsid w:val="0037142A"/>
    <w:rsid w:val="0037255C"/>
    <w:rsid w:val="0037320E"/>
    <w:rsid w:val="003732C4"/>
    <w:rsid w:val="003737BC"/>
    <w:rsid w:val="00380EF4"/>
    <w:rsid w:val="003811EB"/>
    <w:rsid w:val="0038134F"/>
    <w:rsid w:val="00382F95"/>
    <w:rsid w:val="00383067"/>
    <w:rsid w:val="00387608"/>
    <w:rsid w:val="0039139D"/>
    <w:rsid w:val="00395EBA"/>
    <w:rsid w:val="00397234"/>
    <w:rsid w:val="00397AE2"/>
    <w:rsid w:val="003A15E3"/>
    <w:rsid w:val="003A236D"/>
    <w:rsid w:val="003A34C1"/>
    <w:rsid w:val="003A5F42"/>
    <w:rsid w:val="003B1A05"/>
    <w:rsid w:val="003B1B24"/>
    <w:rsid w:val="003B27E0"/>
    <w:rsid w:val="003B2CF0"/>
    <w:rsid w:val="003B3381"/>
    <w:rsid w:val="003B4335"/>
    <w:rsid w:val="003B609D"/>
    <w:rsid w:val="003C049C"/>
    <w:rsid w:val="003C1D25"/>
    <w:rsid w:val="003C3BBE"/>
    <w:rsid w:val="003C4E0E"/>
    <w:rsid w:val="003C60C3"/>
    <w:rsid w:val="003D1D52"/>
    <w:rsid w:val="003D350D"/>
    <w:rsid w:val="003D5355"/>
    <w:rsid w:val="003D59F6"/>
    <w:rsid w:val="003D5C89"/>
    <w:rsid w:val="003D7F32"/>
    <w:rsid w:val="003D7FBB"/>
    <w:rsid w:val="003E27FF"/>
    <w:rsid w:val="003E374F"/>
    <w:rsid w:val="003E7155"/>
    <w:rsid w:val="003F019A"/>
    <w:rsid w:val="003F3B6E"/>
    <w:rsid w:val="003F5184"/>
    <w:rsid w:val="004054DC"/>
    <w:rsid w:val="00407B8D"/>
    <w:rsid w:val="00411DD0"/>
    <w:rsid w:val="00412C0B"/>
    <w:rsid w:val="00413A03"/>
    <w:rsid w:val="004148BB"/>
    <w:rsid w:val="0041614A"/>
    <w:rsid w:val="00417604"/>
    <w:rsid w:val="00417966"/>
    <w:rsid w:val="004204B4"/>
    <w:rsid w:val="0042304C"/>
    <w:rsid w:val="00423CA9"/>
    <w:rsid w:val="004240A4"/>
    <w:rsid w:val="00424233"/>
    <w:rsid w:val="00425303"/>
    <w:rsid w:val="00425696"/>
    <w:rsid w:val="0042668E"/>
    <w:rsid w:val="004277F0"/>
    <w:rsid w:val="004324D2"/>
    <w:rsid w:val="004338FF"/>
    <w:rsid w:val="004339F5"/>
    <w:rsid w:val="004355D3"/>
    <w:rsid w:val="004420B8"/>
    <w:rsid w:val="004422D0"/>
    <w:rsid w:val="00442DCB"/>
    <w:rsid w:val="00444285"/>
    <w:rsid w:val="0044481D"/>
    <w:rsid w:val="0044508A"/>
    <w:rsid w:val="00445652"/>
    <w:rsid w:val="0044594D"/>
    <w:rsid w:val="00446298"/>
    <w:rsid w:val="00446B95"/>
    <w:rsid w:val="00446D48"/>
    <w:rsid w:val="00450D58"/>
    <w:rsid w:val="004533C9"/>
    <w:rsid w:val="00455435"/>
    <w:rsid w:val="004577BF"/>
    <w:rsid w:val="004579B5"/>
    <w:rsid w:val="00457FDF"/>
    <w:rsid w:val="00460D14"/>
    <w:rsid w:val="0046155A"/>
    <w:rsid w:val="00462452"/>
    <w:rsid w:val="004638DB"/>
    <w:rsid w:val="00463928"/>
    <w:rsid w:val="00466D5B"/>
    <w:rsid w:val="004701FE"/>
    <w:rsid w:val="00473252"/>
    <w:rsid w:val="0047331C"/>
    <w:rsid w:val="00473532"/>
    <w:rsid w:val="00473AF7"/>
    <w:rsid w:val="00476179"/>
    <w:rsid w:val="00476921"/>
    <w:rsid w:val="0048114B"/>
    <w:rsid w:val="004829C1"/>
    <w:rsid w:val="004844A0"/>
    <w:rsid w:val="00485F07"/>
    <w:rsid w:val="004917B7"/>
    <w:rsid w:val="00492114"/>
    <w:rsid w:val="00495039"/>
    <w:rsid w:val="0049550E"/>
    <w:rsid w:val="004956E4"/>
    <w:rsid w:val="00497643"/>
    <w:rsid w:val="00497E1A"/>
    <w:rsid w:val="004A03E9"/>
    <w:rsid w:val="004A3434"/>
    <w:rsid w:val="004A404E"/>
    <w:rsid w:val="004A55EB"/>
    <w:rsid w:val="004A5FBB"/>
    <w:rsid w:val="004B11F8"/>
    <w:rsid w:val="004B289F"/>
    <w:rsid w:val="004B3790"/>
    <w:rsid w:val="004B5CF0"/>
    <w:rsid w:val="004B7B9C"/>
    <w:rsid w:val="004C0824"/>
    <w:rsid w:val="004C2613"/>
    <w:rsid w:val="004C274B"/>
    <w:rsid w:val="004C46A6"/>
    <w:rsid w:val="004C46EF"/>
    <w:rsid w:val="004C4E0C"/>
    <w:rsid w:val="004D0D1B"/>
    <w:rsid w:val="004D623F"/>
    <w:rsid w:val="004D773B"/>
    <w:rsid w:val="004E017E"/>
    <w:rsid w:val="004E0F11"/>
    <w:rsid w:val="004E100A"/>
    <w:rsid w:val="004E52BD"/>
    <w:rsid w:val="004E5761"/>
    <w:rsid w:val="004E606E"/>
    <w:rsid w:val="004E7C8E"/>
    <w:rsid w:val="004F069E"/>
    <w:rsid w:val="004F0FCF"/>
    <w:rsid w:val="004F16B2"/>
    <w:rsid w:val="004F1F63"/>
    <w:rsid w:val="004F5926"/>
    <w:rsid w:val="004F6D28"/>
    <w:rsid w:val="0050201B"/>
    <w:rsid w:val="00505B1F"/>
    <w:rsid w:val="00505FF5"/>
    <w:rsid w:val="00510C1E"/>
    <w:rsid w:val="00510D97"/>
    <w:rsid w:val="00510F10"/>
    <w:rsid w:val="0051283D"/>
    <w:rsid w:val="00516C8B"/>
    <w:rsid w:val="005171B6"/>
    <w:rsid w:val="0052209F"/>
    <w:rsid w:val="005223AE"/>
    <w:rsid w:val="00522463"/>
    <w:rsid w:val="0052439E"/>
    <w:rsid w:val="00525611"/>
    <w:rsid w:val="0052684E"/>
    <w:rsid w:val="00526D2A"/>
    <w:rsid w:val="00530A2B"/>
    <w:rsid w:val="00530A53"/>
    <w:rsid w:val="0053194F"/>
    <w:rsid w:val="005322E4"/>
    <w:rsid w:val="00533CA5"/>
    <w:rsid w:val="00541324"/>
    <w:rsid w:val="00544203"/>
    <w:rsid w:val="00545EB8"/>
    <w:rsid w:val="005463DE"/>
    <w:rsid w:val="00550336"/>
    <w:rsid w:val="00551731"/>
    <w:rsid w:val="005538EE"/>
    <w:rsid w:val="00553D84"/>
    <w:rsid w:val="00556616"/>
    <w:rsid w:val="00557CBC"/>
    <w:rsid w:val="00562A28"/>
    <w:rsid w:val="00562C57"/>
    <w:rsid w:val="00563598"/>
    <w:rsid w:val="00566A90"/>
    <w:rsid w:val="0057397C"/>
    <w:rsid w:val="00575E3C"/>
    <w:rsid w:val="0057725A"/>
    <w:rsid w:val="005772BB"/>
    <w:rsid w:val="00580D44"/>
    <w:rsid w:val="00583BA6"/>
    <w:rsid w:val="0058536D"/>
    <w:rsid w:val="005866FC"/>
    <w:rsid w:val="00592095"/>
    <w:rsid w:val="00592552"/>
    <w:rsid w:val="00594350"/>
    <w:rsid w:val="005956BC"/>
    <w:rsid w:val="0059649E"/>
    <w:rsid w:val="005A0AF9"/>
    <w:rsid w:val="005A0D2D"/>
    <w:rsid w:val="005A1B5A"/>
    <w:rsid w:val="005A21D5"/>
    <w:rsid w:val="005A5259"/>
    <w:rsid w:val="005A59E4"/>
    <w:rsid w:val="005B003A"/>
    <w:rsid w:val="005B51A6"/>
    <w:rsid w:val="005B6922"/>
    <w:rsid w:val="005C1460"/>
    <w:rsid w:val="005C32DD"/>
    <w:rsid w:val="005C3C99"/>
    <w:rsid w:val="005C5C74"/>
    <w:rsid w:val="005C5E58"/>
    <w:rsid w:val="005D0E60"/>
    <w:rsid w:val="005D0FA8"/>
    <w:rsid w:val="005D1181"/>
    <w:rsid w:val="005D13CC"/>
    <w:rsid w:val="005D40F3"/>
    <w:rsid w:val="005D6E88"/>
    <w:rsid w:val="005E30ED"/>
    <w:rsid w:val="005E4413"/>
    <w:rsid w:val="005E5418"/>
    <w:rsid w:val="005E6178"/>
    <w:rsid w:val="005E75E2"/>
    <w:rsid w:val="005F23A0"/>
    <w:rsid w:val="005F5DC7"/>
    <w:rsid w:val="0060085F"/>
    <w:rsid w:val="0060223E"/>
    <w:rsid w:val="00602407"/>
    <w:rsid w:val="006054E4"/>
    <w:rsid w:val="00606181"/>
    <w:rsid w:val="00611838"/>
    <w:rsid w:val="00611B3B"/>
    <w:rsid w:val="00615A86"/>
    <w:rsid w:val="00616659"/>
    <w:rsid w:val="0062055A"/>
    <w:rsid w:val="00622C40"/>
    <w:rsid w:val="0062460A"/>
    <w:rsid w:val="00626985"/>
    <w:rsid w:val="00630377"/>
    <w:rsid w:val="006312BA"/>
    <w:rsid w:val="006314C9"/>
    <w:rsid w:val="006315A9"/>
    <w:rsid w:val="006315F9"/>
    <w:rsid w:val="00632D32"/>
    <w:rsid w:val="00633E0D"/>
    <w:rsid w:val="00633FDD"/>
    <w:rsid w:val="00641006"/>
    <w:rsid w:val="00645813"/>
    <w:rsid w:val="00645D7F"/>
    <w:rsid w:val="006464EF"/>
    <w:rsid w:val="0064715F"/>
    <w:rsid w:val="00647785"/>
    <w:rsid w:val="00651AA6"/>
    <w:rsid w:val="0065202C"/>
    <w:rsid w:val="006522FB"/>
    <w:rsid w:val="00653882"/>
    <w:rsid w:val="0065457B"/>
    <w:rsid w:val="006572FA"/>
    <w:rsid w:val="00657ACB"/>
    <w:rsid w:val="00661D3E"/>
    <w:rsid w:val="006627D4"/>
    <w:rsid w:val="00664251"/>
    <w:rsid w:val="00664668"/>
    <w:rsid w:val="0066565C"/>
    <w:rsid w:val="00673C38"/>
    <w:rsid w:val="006757D0"/>
    <w:rsid w:val="006773C2"/>
    <w:rsid w:val="00687547"/>
    <w:rsid w:val="006902FC"/>
    <w:rsid w:val="006911D5"/>
    <w:rsid w:val="00695C67"/>
    <w:rsid w:val="00697509"/>
    <w:rsid w:val="00697E1F"/>
    <w:rsid w:val="006A25EC"/>
    <w:rsid w:val="006A6856"/>
    <w:rsid w:val="006A6CA5"/>
    <w:rsid w:val="006B1BBC"/>
    <w:rsid w:val="006B2E47"/>
    <w:rsid w:val="006B5B4F"/>
    <w:rsid w:val="006B62AD"/>
    <w:rsid w:val="006B6D87"/>
    <w:rsid w:val="006C1743"/>
    <w:rsid w:val="006C1F4B"/>
    <w:rsid w:val="006C1FF6"/>
    <w:rsid w:val="006C212F"/>
    <w:rsid w:val="006C3286"/>
    <w:rsid w:val="006D381C"/>
    <w:rsid w:val="006D3FE7"/>
    <w:rsid w:val="006D41CA"/>
    <w:rsid w:val="006D6EE6"/>
    <w:rsid w:val="006E0FA9"/>
    <w:rsid w:val="006E115B"/>
    <w:rsid w:val="006E2503"/>
    <w:rsid w:val="006E7BCC"/>
    <w:rsid w:val="006F2B95"/>
    <w:rsid w:val="006F437D"/>
    <w:rsid w:val="006F4598"/>
    <w:rsid w:val="006F615A"/>
    <w:rsid w:val="00700F69"/>
    <w:rsid w:val="00702023"/>
    <w:rsid w:val="0070361A"/>
    <w:rsid w:val="00704289"/>
    <w:rsid w:val="007046EB"/>
    <w:rsid w:val="00705640"/>
    <w:rsid w:val="0070788B"/>
    <w:rsid w:val="00707B90"/>
    <w:rsid w:val="00710C53"/>
    <w:rsid w:val="007153D3"/>
    <w:rsid w:val="00720DC6"/>
    <w:rsid w:val="00722584"/>
    <w:rsid w:val="00724E72"/>
    <w:rsid w:val="00727097"/>
    <w:rsid w:val="00730249"/>
    <w:rsid w:val="0073211A"/>
    <w:rsid w:val="00732C49"/>
    <w:rsid w:val="00735ED2"/>
    <w:rsid w:val="00736FAC"/>
    <w:rsid w:val="00737452"/>
    <w:rsid w:val="00740F89"/>
    <w:rsid w:val="00741A6C"/>
    <w:rsid w:val="00741E5F"/>
    <w:rsid w:val="00743FB4"/>
    <w:rsid w:val="007444A3"/>
    <w:rsid w:val="007465B1"/>
    <w:rsid w:val="00746979"/>
    <w:rsid w:val="00747F2E"/>
    <w:rsid w:val="00753FFC"/>
    <w:rsid w:val="0075626C"/>
    <w:rsid w:val="00765898"/>
    <w:rsid w:val="00772148"/>
    <w:rsid w:val="00774B31"/>
    <w:rsid w:val="007753DA"/>
    <w:rsid w:val="00775570"/>
    <w:rsid w:val="00775884"/>
    <w:rsid w:val="00781921"/>
    <w:rsid w:val="0078218E"/>
    <w:rsid w:val="0078221D"/>
    <w:rsid w:val="007828E4"/>
    <w:rsid w:val="00783C0C"/>
    <w:rsid w:val="00784233"/>
    <w:rsid w:val="00790608"/>
    <w:rsid w:val="00793B57"/>
    <w:rsid w:val="00794E47"/>
    <w:rsid w:val="0079591E"/>
    <w:rsid w:val="00796604"/>
    <w:rsid w:val="007A1322"/>
    <w:rsid w:val="007A1584"/>
    <w:rsid w:val="007A28BB"/>
    <w:rsid w:val="007A342B"/>
    <w:rsid w:val="007A4963"/>
    <w:rsid w:val="007A4D8B"/>
    <w:rsid w:val="007A51AC"/>
    <w:rsid w:val="007A5870"/>
    <w:rsid w:val="007A608E"/>
    <w:rsid w:val="007A6ABC"/>
    <w:rsid w:val="007B7A27"/>
    <w:rsid w:val="007C0515"/>
    <w:rsid w:val="007C20FD"/>
    <w:rsid w:val="007C58BA"/>
    <w:rsid w:val="007D0899"/>
    <w:rsid w:val="007D5157"/>
    <w:rsid w:val="007D6178"/>
    <w:rsid w:val="007E0242"/>
    <w:rsid w:val="007E06B7"/>
    <w:rsid w:val="007E6DA5"/>
    <w:rsid w:val="007E77CF"/>
    <w:rsid w:val="007F0FBF"/>
    <w:rsid w:val="007F22DD"/>
    <w:rsid w:val="007F4642"/>
    <w:rsid w:val="007F6E1B"/>
    <w:rsid w:val="008018FF"/>
    <w:rsid w:val="00801BE3"/>
    <w:rsid w:val="00806491"/>
    <w:rsid w:val="008079C8"/>
    <w:rsid w:val="00807C55"/>
    <w:rsid w:val="00810B70"/>
    <w:rsid w:val="00812937"/>
    <w:rsid w:val="00813283"/>
    <w:rsid w:val="00813646"/>
    <w:rsid w:val="0081647E"/>
    <w:rsid w:val="00816878"/>
    <w:rsid w:val="00816B61"/>
    <w:rsid w:val="00817011"/>
    <w:rsid w:val="00820160"/>
    <w:rsid w:val="00820B31"/>
    <w:rsid w:val="00821DC8"/>
    <w:rsid w:val="00822F79"/>
    <w:rsid w:val="00823585"/>
    <w:rsid w:val="00823A52"/>
    <w:rsid w:val="00823B61"/>
    <w:rsid w:val="0082489B"/>
    <w:rsid w:val="0082616E"/>
    <w:rsid w:val="008265C1"/>
    <w:rsid w:val="008279B7"/>
    <w:rsid w:val="00827B0B"/>
    <w:rsid w:val="0083138E"/>
    <w:rsid w:val="008313DF"/>
    <w:rsid w:val="008328FB"/>
    <w:rsid w:val="00833AB5"/>
    <w:rsid w:val="0083418B"/>
    <w:rsid w:val="00834B11"/>
    <w:rsid w:val="00834CB9"/>
    <w:rsid w:val="008350B0"/>
    <w:rsid w:val="00836CBE"/>
    <w:rsid w:val="0083774B"/>
    <w:rsid w:val="00840049"/>
    <w:rsid w:val="008419D0"/>
    <w:rsid w:val="00843551"/>
    <w:rsid w:val="00843E04"/>
    <w:rsid w:val="00843F5E"/>
    <w:rsid w:val="00845773"/>
    <w:rsid w:val="00845E51"/>
    <w:rsid w:val="00851AE8"/>
    <w:rsid w:val="00854330"/>
    <w:rsid w:val="0085680D"/>
    <w:rsid w:val="0085689A"/>
    <w:rsid w:val="00856A1F"/>
    <w:rsid w:val="00860013"/>
    <w:rsid w:val="00863CAD"/>
    <w:rsid w:val="00865B91"/>
    <w:rsid w:val="00867927"/>
    <w:rsid w:val="008715E1"/>
    <w:rsid w:val="00873752"/>
    <w:rsid w:val="00874B81"/>
    <w:rsid w:val="008824D5"/>
    <w:rsid w:val="00891D8E"/>
    <w:rsid w:val="008937B4"/>
    <w:rsid w:val="00895825"/>
    <w:rsid w:val="0089588F"/>
    <w:rsid w:val="00896C7A"/>
    <w:rsid w:val="008A3E82"/>
    <w:rsid w:val="008A4329"/>
    <w:rsid w:val="008A50C3"/>
    <w:rsid w:val="008A7EFE"/>
    <w:rsid w:val="008B2D30"/>
    <w:rsid w:val="008B4EC4"/>
    <w:rsid w:val="008B596F"/>
    <w:rsid w:val="008B6068"/>
    <w:rsid w:val="008B656B"/>
    <w:rsid w:val="008C2202"/>
    <w:rsid w:val="008C2CEA"/>
    <w:rsid w:val="008C309F"/>
    <w:rsid w:val="008C3D5B"/>
    <w:rsid w:val="008D01CB"/>
    <w:rsid w:val="008D08E1"/>
    <w:rsid w:val="008D1129"/>
    <w:rsid w:val="008D37CF"/>
    <w:rsid w:val="008D3B09"/>
    <w:rsid w:val="008D4143"/>
    <w:rsid w:val="008D5848"/>
    <w:rsid w:val="008D77C8"/>
    <w:rsid w:val="008D7A29"/>
    <w:rsid w:val="008E080F"/>
    <w:rsid w:val="008E3102"/>
    <w:rsid w:val="008E5568"/>
    <w:rsid w:val="008E7A28"/>
    <w:rsid w:val="008F0C2B"/>
    <w:rsid w:val="008F3025"/>
    <w:rsid w:val="008F3080"/>
    <w:rsid w:val="008F3DC3"/>
    <w:rsid w:val="008F4B13"/>
    <w:rsid w:val="008F5626"/>
    <w:rsid w:val="0090061D"/>
    <w:rsid w:val="00900A1C"/>
    <w:rsid w:val="00900B4F"/>
    <w:rsid w:val="00904BF2"/>
    <w:rsid w:val="009057C4"/>
    <w:rsid w:val="0090614E"/>
    <w:rsid w:val="009100F8"/>
    <w:rsid w:val="009114A7"/>
    <w:rsid w:val="0091307B"/>
    <w:rsid w:val="00914D97"/>
    <w:rsid w:val="0091543A"/>
    <w:rsid w:val="009200F5"/>
    <w:rsid w:val="00920298"/>
    <w:rsid w:val="00920F94"/>
    <w:rsid w:val="009213E2"/>
    <w:rsid w:val="00922BD5"/>
    <w:rsid w:val="00923015"/>
    <w:rsid w:val="009234CE"/>
    <w:rsid w:val="00923FF6"/>
    <w:rsid w:val="0092541C"/>
    <w:rsid w:val="00931B38"/>
    <w:rsid w:val="00936E27"/>
    <w:rsid w:val="00937192"/>
    <w:rsid w:val="00943709"/>
    <w:rsid w:val="009444F0"/>
    <w:rsid w:val="009455A6"/>
    <w:rsid w:val="009464D9"/>
    <w:rsid w:val="00946820"/>
    <w:rsid w:val="0095372B"/>
    <w:rsid w:val="00954058"/>
    <w:rsid w:val="00955016"/>
    <w:rsid w:val="00955821"/>
    <w:rsid w:val="00962CD6"/>
    <w:rsid w:val="00964AE4"/>
    <w:rsid w:val="00966C3A"/>
    <w:rsid w:val="00975AB0"/>
    <w:rsid w:val="00975C33"/>
    <w:rsid w:val="00975F19"/>
    <w:rsid w:val="00980144"/>
    <w:rsid w:val="0098023F"/>
    <w:rsid w:val="009812CF"/>
    <w:rsid w:val="00985543"/>
    <w:rsid w:val="0098673E"/>
    <w:rsid w:val="00987DA8"/>
    <w:rsid w:val="00990637"/>
    <w:rsid w:val="009925E7"/>
    <w:rsid w:val="009937F5"/>
    <w:rsid w:val="00994CF2"/>
    <w:rsid w:val="00996748"/>
    <w:rsid w:val="00997B78"/>
    <w:rsid w:val="009A012E"/>
    <w:rsid w:val="009A2D9F"/>
    <w:rsid w:val="009A3945"/>
    <w:rsid w:val="009A5CE0"/>
    <w:rsid w:val="009A5E99"/>
    <w:rsid w:val="009A6802"/>
    <w:rsid w:val="009A6911"/>
    <w:rsid w:val="009A79BF"/>
    <w:rsid w:val="009B411D"/>
    <w:rsid w:val="009B4599"/>
    <w:rsid w:val="009B5779"/>
    <w:rsid w:val="009B6B4B"/>
    <w:rsid w:val="009C233C"/>
    <w:rsid w:val="009C3D50"/>
    <w:rsid w:val="009C6339"/>
    <w:rsid w:val="009C6B7D"/>
    <w:rsid w:val="009C6C47"/>
    <w:rsid w:val="009C7794"/>
    <w:rsid w:val="009D32CA"/>
    <w:rsid w:val="009D5869"/>
    <w:rsid w:val="009E0DCF"/>
    <w:rsid w:val="009E666E"/>
    <w:rsid w:val="009F0458"/>
    <w:rsid w:val="009F29F5"/>
    <w:rsid w:val="009F47BB"/>
    <w:rsid w:val="009F58DD"/>
    <w:rsid w:val="009F62E0"/>
    <w:rsid w:val="009F7163"/>
    <w:rsid w:val="00A01812"/>
    <w:rsid w:val="00A024F2"/>
    <w:rsid w:val="00A06553"/>
    <w:rsid w:val="00A065D4"/>
    <w:rsid w:val="00A10FE8"/>
    <w:rsid w:val="00A20DB6"/>
    <w:rsid w:val="00A2184E"/>
    <w:rsid w:val="00A220BF"/>
    <w:rsid w:val="00A23FEF"/>
    <w:rsid w:val="00A25457"/>
    <w:rsid w:val="00A273F3"/>
    <w:rsid w:val="00A27E8C"/>
    <w:rsid w:val="00A310C3"/>
    <w:rsid w:val="00A37D9F"/>
    <w:rsid w:val="00A37F66"/>
    <w:rsid w:val="00A41047"/>
    <w:rsid w:val="00A41061"/>
    <w:rsid w:val="00A44AB0"/>
    <w:rsid w:val="00A44FEB"/>
    <w:rsid w:val="00A4572D"/>
    <w:rsid w:val="00A45F62"/>
    <w:rsid w:val="00A47CCA"/>
    <w:rsid w:val="00A5033E"/>
    <w:rsid w:val="00A50BDD"/>
    <w:rsid w:val="00A534E1"/>
    <w:rsid w:val="00A5390F"/>
    <w:rsid w:val="00A5454B"/>
    <w:rsid w:val="00A54772"/>
    <w:rsid w:val="00A54E35"/>
    <w:rsid w:val="00A557A2"/>
    <w:rsid w:val="00A5630C"/>
    <w:rsid w:val="00A600E1"/>
    <w:rsid w:val="00A607C5"/>
    <w:rsid w:val="00A622F0"/>
    <w:rsid w:val="00A63CF4"/>
    <w:rsid w:val="00A63E0D"/>
    <w:rsid w:val="00A664EB"/>
    <w:rsid w:val="00A71154"/>
    <w:rsid w:val="00A7167C"/>
    <w:rsid w:val="00A77D90"/>
    <w:rsid w:val="00A802F3"/>
    <w:rsid w:val="00A818E8"/>
    <w:rsid w:val="00A83E20"/>
    <w:rsid w:val="00A87A4C"/>
    <w:rsid w:val="00A91587"/>
    <w:rsid w:val="00A92CA4"/>
    <w:rsid w:val="00A94B94"/>
    <w:rsid w:val="00AA01C7"/>
    <w:rsid w:val="00AA01D6"/>
    <w:rsid w:val="00AA0D63"/>
    <w:rsid w:val="00AA2E85"/>
    <w:rsid w:val="00AA3DB5"/>
    <w:rsid w:val="00AA47C1"/>
    <w:rsid w:val="00AA51F5"/>
    <w:rsid w:val="00AA5F01"/>
    <w:rsid w:val="00AA7198"/>
    <w:rsid w:val="00AB0CAD"/>
    <w:rsid w:val="00AB1426"/>
    <w:rsid w:val="00AB52B1"/>
    <w:rsid w:val="00AB6418"/>
    <w:rsid w:val="00AC0AE5"/>
    <w:rsid w:val="00AC289A"/>
    <w:rsid w:val="00AC28FB"/>
    <w:rsid w:val="00AD0322"/>
    <w:rsid w:val="00AD03D0"/>
    <w:rsid w:val="00AD1073"/>
    <w:rsid w:val="00AD1472"/>
    <w:rsid w:val="00AD3424"/>
    <w:rsid w:val="00AD4F7F"/>
    <w:rsid w:val="00AD5C2D"/>
    <w:rsid w:val="00AD634D"/>
    <w:rsid w:val="00AE2249"/>
    <w:rsid w:val="00AE3772"/>
    <w:rsid w:val="00AE4946"/>
    <w:rsid w:val="00AE535F"/>
    <w:rsid w:val="00AE672F"/>
    <w:rsid w:val="00AE6759"/>
    <w:rsid w:val="00AE7A65"/>
    <w:rsid w:val="00AF0D9D"/>
    <w:rsid w:val="00AF1E10"/>
    <w:rsid w:val="00AF5D6B"/>
    <w:rsid w:val="00AF5DD4"/>
    <w:rsid w:val="00AF7357"/>
    <w:rsid w:val="00B002BF"/>
    <w:rsid w:val="00B00D95"/>
    <w:rsid w:val="00B025C0"/>
    <w:rsid w:val="00B040C0"/>
    <w:rsid w:val="00B0688E"/>
    <w:rsid w:val="00B0711D"/>
    <w:rsid w:val="00B10CF3"/>
    <w:rsid w:val="00B11FED"/>
    <w:rsid w:val="00B13A48"/>
    <w:rsid w:val="00B16709"/>
    <w:rsid w:val="00B17068"/>
    <w:rsid w:val="00B17AF3"/>
    <w:rsid w:val="00B17C14"/>
    <w:rsid w:val="00B25304"/>
    <w:rsid w:val="00B25B4D"/>
    <w:rsid w:val="00B26AC0"/>
    <w:rsid w:val="00B26D48"/>
    <w:rsid w:val="00B311C1"/>
    <w:rsid w:val="00B31CC4"/>
    <w:rsid w:val="00B34A26"/>
    <w:rsid w:val="00B364C6"/>
    <w:rsid w:val="00B4017A"/>
    <w:rsid w:val="00B4022E"/>
    <w:rsid w:val="00B478BB"/>
    <w:rsid w:val="00B5085F"/>
    <w:rsid w:val="00B5090D"/>
    <w:rsid w:val="00B50BDE"/>
    <w:rsid w:val="00B56715"/>
    <w:rsid w:val="00B56B2F"/>
    <w:rsid w:val="00B6098C"/>
    <w:rsid w:val="00B6185E"/>
    <w:rsid w:val="00B6288C"/>
    <w:rsid w:val="00B63765"/>
    <w:rsid w:val="00B655EA"/>
    <w:rsid w:val="00B66027"/>
    <w:rsid w:val="00B67531"/>
    <w:rsid w:val="00B70F3D"/>
    <w:rsid w:val="00B7195A"/>
    <w:rsid w:val="00B74F97"/>
    <w:rsid w:val="00B77E64"/>
    <w:rsid w:val="00B80235"/>
    <w:rsid w:val="00B819B6"/>
    <w:rsid w:val="00B84DFC"/>
    <w:rsid w:val="00B907A4"/>
    <w:rsid w:val="00B91A5F"/>
    <w:rsid w:val="00B91DF6"/>
    <w:rsid w:val="00B9248E"/>
    <w:rsid w:val="00B9687D"/>
    <w:rsid w:val="00B97772"/>
    <w:rsid w:val="00B97F2F"/>
    <w:rsid w:val="00BA223A"/>
    <w:rsid w:val="00BA2892"/>
    <w:rsid w:val="00BA4623"/>
    <w:rsid w:val="00BB0BD0"/>
    <w:rsid w:val="00BB14A5"/>
    <w:rsid w:val="00BB1683"/>
    <w:rsid w:val="00BB4911"/>
    <w:rsid w:val="00BB5379"/>
    <w:rsid w:val="00BC30AE"/>
    <w:rsid w:val="00BC3C35"/>
    <w:rsid w:val="00BC4311"/>
    <w:rsid w:val="00BC48E3"/>
    <w:rsid w:val="00BC4CC2"/>
    <w:rsid w:val="00BC56A3"/>
    <w:rsid w:val="00BC6885"/>
    <w:rsid w:val="00BD01CD"/>
    <w:rsid w:val="00BD0DEE"/>
    <w:rsid w:val="00BD11FD"/>
    <w:rsid w:val="00BD3AD9"/>
    <w:rsid w:val="00BD7BAC"/>
    <w:rsid w:val="00BE3671"/>
    <w:rsid w:val="00BE7EEA"/>
    <w:rsid w:val="00BE7FC5"/>
    <w:rsid w:val="00BF21B3"/>
    <w:rsid w:val="00BF3827"/>
    <w:rsid w:val="00BF3A1E"/>
    <w:rsid w:val="00BF5B8F"/>
    <w:rsid w:val="00C005B2"/>
    <w:rsid w:val="00C00B6F"/>
    <w:rsid w:val="00C03431"/>
    <w:rsid w:val="00C03655"/>
    <w:rsid w:val="00C03683"/>
    <w:rsid w:val="00C0423F"/>
    <w:rsid w:val="00C066DE"/>
    <w:rsid w:val="00C06BE9"/>
    <w:rsid w:val="00C07910"/>
    <w:rsid w:val="00C10F29"/>
    <w:rsid w:val="00C1136E"/>
    <w:rsid w:val="00C1184A"/>
    <w:rsid w:val="00C11FB7"/>
    <w:rsid w:val="00C12098"/>
    <w:rsid w:val="00C13A9C"/>
    <w:rsid w:val="00C14094"/>
    <w:rsid w:val="00C15030"/>
    <w:rsid w:val="00C153EF"/>
    <w:rsid w:val="00C15A06"/>
    <w:rsid w:val="00C15A32"/>
    <w:rsid w:val="00C164AE"/>
    <w:rsid w:val="00C2065D"/>
    <w:rsid w:val="00C23CE2"/>
    <w:rsid w:val="00C25121"/>
    <w:rsid w:val="00C26A2B"/>
    <w:rsid w:val="00C306B6"/>
    <w:rsid w:val="00C32083"/>
    <w:rsid w:val="00C33B4C"/>
    <w:rsid w:val="00C36912"/>
    <w:rsid w:val="00C36A72"/>
    <w:rsid w:val="00C40830"/>
    <w:rsid w:val="00C412F3"/>
    <w:rsid w:val="00C4279A"/>
    <w:rsid w:val="00C448AE"/>
    <w:rsid w:val="00C457CA"/>
    <w:rsid w:val="00C4678B"/>
    <w:rsid w:val="00C50F16"/>
    <w:rsid w:val="00C519BA"/>
    <w:rsid w:val="00C51C2A"/>
    <w:rsid w:val="00C5310D"/>
    <w:rsid w:val="00C54559"/>
    <w:rsid w:val="00C5510B"/>
    <w:rsid w:val="00C55766"/>
    <w:rsid w:val="00C57096"/>
    <w:rsid w:val="00C65C87"/>
    <w:rsid w:val="00C66B3F"/>
    <w:rsid w:val="00C7023C"/>
    <w:rsid w:val="00C722B3"/>
    <w:rsid w:val="00C7355B"/>
    <w:rsid w:val="00C73DFA"/>
    <w:rsid w:val="00C76215"/>
    <w:rsid w:val="00C810F1"/>
    <w:rsid w:val="00C82E94"/>
    <w:rsid w:val="00C84E26"/>
    <w:rsid w:val="00C85A7B"/>
    <w:rsid w:val="00C86E63"/>
    <w:rsid w:val="00C87CD1"/>
    <w:rsid w:val="00C91D23"/>
    <w:rsid w:val="00C92D37"/>
    <w:rsid w:val="00C948D3"/>
    <w:rsid w:val="00CA1F87"/>
    <w:rsid w:val="00CA232F"/>
    <w:rsid w:val="00CA4DE6"/>
    <w:rsid w:val="00CA5159"/>
    <w:rsid w:val="00CA5BAD"/>
    <w:rsid w:val="00CB1533"/>
    <w:rsid w:val="00CB1714"/>
    <w:rsid w:val="00CB5550"/>
    <w:rsid w:val="00CC0627"/>
    <w:rsid w:val="00CC1CB6"/>
    <w:rsid w:val="00CC367D"/>
    <w:rsid w:val="00CC3AEF"/>
    <w:rsid w:val="00CC46BF"/>
    <w:rsid w:val="00CE0C5B"/>
    <w:rsid w:val="00CE0CA0"/>
    <w:rsid w:val="00CE197C"/>
    <w:rsid w:val="00CE1C67"/>
    <w:rsid w:val="00CE4F20"/>
    <w:rsid w:val="00CE5710"/>
    <w:rsid w:val="00CF04D1"/>
    <w:rsid w:val="00CF0E52"/>
    <w:rsid w:val="00CF36F2"/>
    <w:rsid w:val="00CF55FD"/>
    <w:rsid w:val="00CF6975"/>
    <w:rsid w:val="00CF74C5"/>
    <w:rsid w:val="00D0153E"/>
    <w:rsid w:val="00D02146"/>
    <w:rsid w:val="00D037AC"/>
    <w:rsid w:val="00D04F07"/>
    <w:rsid w:val="00D04FB4"/>
    <w:rsid w:val="00D05C21"/>
    <w:rsid w:val="00D0696D"/>
    <w:rsid w:val="00D10DF5"/>
    <w:rsid w:val="00D124F0"/>
    <w:rsid w:val="00D1505C"/>
    <w:rsid w:val="00D17C3F"/>
    <w:rsid w:val="00D21AE9"/>
    <w:rsid w:val="00D21B18"/>
    <w:rsid w:val="00D222AF"/>
    <w:rsid w:val="00D22B33"/>
    <w:rsid w:val="00D24D89"/>
    <w:rsid w:val="00D2508F"/>
    <w:rsid w:val="00D27025"/>
    <w:rsid w:val="00D27790"/>
    <w:rsid w:val="00D279E2"/>
    <w:rsid w:val="00D3085D"/>
    <w:rsid w:val="00D31E9A"/>
    <w:rsid w:val="00D33B99"/>
    <w:rsid w:val="00D36D5E"/>
    <w:rsid w:val="00D36E73"/>
    <w:rsid w:val="00D42E0B"/>
    <w:rsid w:val="00D46E83"/>
    <w:rsid w:val="00D51279"/>
    <w:rsid w:val="00D5127E"/>
    <w:rsid w:val="00D52B21"/>
    <w:rsid w:val="00D543AC"/>
    <w:rsid w:val="00D545BC"/>
    <w:rsid w:val="00D54C48"/>
    <w:rsid w:val="00D54CF6"/>
    <w:rsid w:val="00D62350"/>
    <w:rsid w:val="00D64749"/>
    <w:rsid w:val="00D67B3C"/>
    <w:rsid w:val="00D71B69"/>
    <w:rsid w:val="00D725EF"/>
    <w:rsid w:val="00D73695"/>
    <w:rsid w:val="00D74077"/>
    <w:rsid w:val="00D74EA3"/>
    <w:rsid w:val="00D80D82"/>
    <w:rsid w:val="00D80E15"/>
    <w:rsid w:val="00D8736B"/>
    <w:rsid w:val="00D9042B"/>
    <w:rsid w:val="00D92BDB"/>
    <w:rsid w:val="00D93B28"/>
    <w:rsid w:val="00D95DEA"/>
    <w:rsid w:val="00D97301"/>
    <w:rsid w:val="00DA0658"/>
    <w:rsid w:val="00DA2340"/>
    <w:rsid w:val="00DA43B8"/>
    <w:rsid w:val="00DA589F"/>
    <w:rsid w:val="00DA73C9"/>
    <w:rsid w:val="00DA7975"/>
    <w:rsid w:val="00DB0BAD"/>
    <w:rsid w:val="00DB23E7"/>
    <w:rsid w:val="00DB6EAA"/>
    <w:rsid w:val="00DC0438"/>
    <w:rsid w:val="00DC2412"/>
    <w:rsid w:val="00DC3C04"/>
    <w:rsid w:val="00DC5745"/>
    <w:rsid w:val="00DD1105"/>
    <w:rsid w:val="00DD42B7"/>
    <w:rsid w:val="00DD4316"/>
    <w:rsid w:val="00DD6116"/>
    <w:rsid w:val="00DD615B"/>
    <w:rsid w:val="00DE30D8"/>
    <w:rsid w:val="00DE4EBF"/>
    <w:rsid w:val="00DE58D9"/>
    <w:rsid w:val="00DE6E6E"/>
    <w:rsid w:val="00DE77D2"/>
    <w:rsid w:val="00DE7EC4"/>
    <w:rsid w:val="00DF2EA4"/>
    <w:rsid w:val="00DF3F2D"/>
    <w:rsid w:val="00DF4784"/>
    <w:rsid w:val="00DF5330"/>
    <w:rsid w:val="00DF738E"/>
    <w:rsid w:val="00E01080"/>
    <w:rsid w:val="00E01B5D"/>
    <w:rsid w:val="00E031E5"/>
    <w:rsid w:val="00E038EA"/>
    <w:rsid w:val="00E04545"/>
    <w:rsid w:val="00E049CF"/>
    <w:rsid w:val="00E06704"/>
    <w:rsid w:val="00E06784"/>
    <w:rsid w:val="00E0696E"/>
    <w:rsid w:val="00E06FF4"/>
    <w:rsid w:val="00E116CA"/>
    <w:rsid w:val="00E125DA"/>
    <w:rsid w:val="00E135D9"/>
    <w:rsid w:val="00E14F92"/>
    <w:rsid w:val="00E20B59"/>
    <w:rsid w:val="00E2215C"/>
    <w:rsid w:val="00E242F2"/>
    <w:rsid w:val="00E24C39"/>
    <w:rsid w:val="00E25A12"/>
    <w:rsid w:val="00E2752E"/>
    <w:rsid w:val="00E278A5"/>
    <w:rsid w:val="00E30D5A"/>
    <w:rsid w:val="00E31636"/>
    <w:rsid w:val="00E358DA"/>
    <w:rsid w:val="00E364FB"/>
    <w:rsid w:val="00E36743"/>
    <w:rsid w:val="00E37ED8"/>
    <w:rsid w:val="00E409E6"/>
    <w:rsid w:val="00E4190C"/>
    <w:rsid w:val="00E42FBC"/>
    <w:rsid w:val="00E43276"/>
    <w:rsid w:val="00E45A90"/>
    <w:rsid w:val="00E45BCC"/>
    <w:rsid w:val="00E475BB"/>
    <w:rsid w:val="00E50E4F"/>
    <w:rsid w:val="00E5352F"/>
    <w:rsid w:val="00E53BA1"/>
    <w:rsid w:val="00E53CF0"/>
    <w:rsid w:val="00E54955"/>
    <w:rsid w:val="00E5549A"/>
    <w:rsid w:val="00E575C5"/>
    <w:rsid w:val="00E60D3C"/>
    <w:rsid w:val="00E657DD"/>
    <w:rsid w:val="00E67FEC"/>
    <w:rsid w:val="00E71B0E"/>
    <w:rsid w:val="00E722ED"/>
    <w:rsid w:val="00E72A68"/>
    <w:rsid w:val="00E73AB5"/>
    <w:rsid w:val="00E74896"/>
    <w:rsid w:val="00E74ED5"/>
    <w:rsid w:val="00E75F8A"/>
    <w:rsid w:val="00E81B16"/>
    <w:rsid w:val="00E823BA"/>
    <w:rsid w:val="00E82802"/>
    <w:rsid w:val="00E848A6"/>
    <w:rsid w:val="00E85609"/>
    <w:rsid w:val="00E85869"/>
    <w:rsid w:val="00E87570"/>
    <w:rsid w:val="00E90198"/>
    <w:rsid w:val="00E9034D"/>
    <w:rsid w:val="00E94FCD"/>
    <w:rsid w:val="00EA0C6D"/>
    <w:rsid w:val="00EA17F9"/>
    <w:rsid w:val="00EA1E88"/>
    <w:rsid w:val="00EA3ED0"/>
    <w:rsid w:val="00EB0365"/>
    <w:rsid w:val="00EB2001"/>
    <w:rsid w:val="00EC6739"/>
    <w:rsid w:val="00ED1322"/>
    <w:rsid w:val="00ED217F"/>
    <w:rsid w:val="00ED3A8A"/>
    <w:rsid w:val="00EE0E70"/>
    <w:rsid w:val="00EE1938"/>
    <w:rsid w:val="00EE197C"/>
    <w:rsid w:val="00EF02F9"/>
    <w:rsid w:val="00EF19C9"/>
    <w:rsid w:val="00EF4A17"/>
    <w:rsid w:val="00EF5AFE"/>
    <w:rsid w:val="00EF7724"/>
    <w:rsid w:val="00EF7B54"/>
    <w:rsid w:val="00F0265F"/>
    <w:rsid w:val="00F053F3"/>
    <w:rsid w:val="00F0544A"/>
    <w:rsid w:val="00F05825"/>
    <w:rsid w:val="00F07DA4"/>
    <w:rsid w:val="00F07EFB"/>
    <w:rsid w:val="00F12FF4"/>
    <w:rsid w:val="00F144E9"/>
    <w:rsid w:val="00F151B6"/>
    <w:rsid w:val="00F159D9"/>
    <w:rsid w:val="00F15B5E"/>
    <w:rsid w:val="00F163F8"/>
    <w:rsid w:val="00F21396"/>
    <w:rsid w:val="00F2171D"/>
    <w:rsid w:val="00F23FE4"/>
    <w:rsid w:val="00F24C92"/>
    <w:rsid w:val="00F25018"/>
    <w:rsid w:val="00F2663D"/>
    <w:rsid w:val="00F344DD"/>
    <w:rsid w:val="00F34B84"/>
    <w:rsid w:val="00F3643D"/>
    <w:rsid w:val="00F37A4E"/>
    <w:rsid w:val="00F37D2B"/>
    <w:rsid w:val="00F41268"/>
    <w:rsid w:val="00F42FDE"/>
    <w:rsid w:val="00F43673"/>
    <w:rsid w:val="00F46300"/>
    <w:rsid w:val="00F469F0"/>
    <w:rsid w:val="00F4793B"/>
    <w:rsid w:val="00F5285D"/>
    <w:rsid w:val="00F56C22"/>
    <w:rsid w:val="00F57172"/>
    <w:rsid w:val="00F577FF"/>
    <w:rsid w:val="00F60E88"/>
    <w:rsid w:val="00F62367"/>
    <w:rsid w:val="00F6236A"/>
    <w:rsid w:val="00F63073"/>
    <w:rsid w:val="00F654A8"/>
    <w:rsid w:val="00F71C59"/>
    <w:rsid w:val="00F71FFB"/>
    <w:rsid w:val="00F7209C"/>
    <w:rsid w:val="00F72DF1"/>
    <w:rsid w:val="00F73C90"/>
    <w:rsid w:val="00F741AE"/>
    <w:rsid w:val="00F75B5C"/>
    <w:rsid w:val="00F81D22"/>
    <w:rsid w:val="00F851FE"/>
    <w:rsid w:val="00F855BA"/>
    <w:rsid w:val="00F92051"/>
    <w:rsid w:val="00F934EE"/>
    <w:rsid w:val="00F96BEC"/>
    <w:rsid w:val="00F9720B"/>
    <w:rsid w:val="00F97F03"/>
    <w:rsid w:val="00FA176E"/>
    <w:rsid w:val="00FA213F"/>
    <w:rsid w:val="00FA4723"/>
    <w:rsid w:val="00FA473C"/>
    <w:rsid w:val="00FA4B57"/>
    <w:rsid w:val="00FA4C04"/>
    <w:rsid w:val="00FA7101"/>
    <w:rsid w:val="00FB2BA5"/>
    <w:rsid w:val="00FB53AA"/>
    <w:rsid w:val="00FB6DC4"/>
    <w:rsid w:val="00FC378A"/>
    <w:rsid w:val="00FC661A"/>
    <w:rsid w:val="00FC69EF"/>
    <w:rsid w:val="00FC7D5C"/>
    <w:rsid w:val="00FD03D5"/>
    <w:rsid w:val="00FD0CF5"/>
    <w:rsid w:val="00FD1FEC"/>
    <w:rsid w:val="00FD3380"/>
    <w:rsid w:val="00FD3F96"/>
    <w:rsid w:val="00FD5C51"/>
    <w:rsid w:val="00FE5AEE"/>
    <w:rsid w:val="00FE6614"/>
    <w:rsid w:val="00FF3245"/>
    <w:rsid w:val="00FF3313"/>
    <w:rsid w:val="00FF72F2"/>
    <w:rsid w:val="00FF73B4"/>
    <w:rsid w:val="00FF7B3A"/>
    <w:rsid w:val="014E3A2E"/>
    <w:rsid w:val="01582DE9"/>
    <w:rsid w:val="018EAC4C"/>
    <w:rsid w:val="01CDB986"/>
    <w:rsid w:val="023EB8DC"/>
    <w:rsid w:val="03284706"/>
    <w:rsid w:val="036D7A63"/>
    <w:rsid w:val="038A9ECF"/>
    <w:rsid w:val="0596C477"/>
    <w:rsid w:val="098DE02F"/>
    <w:rsid w:val="0AEFB5B0"/>
    <w:rsid w:val="0C59B8F1"/>
    <w:rsid w:val="0C76F822"/>
    <w:rsid w:val="0CF959AF"/>
    <w:rsid w:val="0D90A718"/>
    <w:rsid w:val="0DB35110"/>
    <w:rsid w:val="0DD2C555"/>
    <w:rsid w:val="10A45AAD"/>
    <w:rsid w:val="123C1D33"/>
    <w:rsid w:val="12909205"/>
    <w:rsid w:val="1361B302"/>
    <w:rsid w:val="13AB0171"/>
    <w:rsid w:val="1542EBEE"/>
    <w:rsid w:val="1546D1D2"/>
    <w:rsid w:val="1896359A"/>
    <w:rsid w:val="19610B2C"/>
    <w:rsid w:val="19C572F0"/>
    <w:rsid w:val="1A349D1F"/>
    <w:rsid w:val="1ABFCC40"/>
    <w:rsid w:val="1DEA2DB8"/>
    <w:rsid w:val="1DF467BA"/>
    <w:rsid w:val="1DFDBB5E"/>
    <w:rsid w:val="1F4F85B3"/>
    <w:rsid w:val="1F72DD3D"/>
    <w:rsid w:val="2079CC3D"/>
    <w:rsid w:val="214F8B34"/>
    <w:rsid w:val="22914ACB"/>
    <w:rsid w:val="22DC4ABB"/>
    <w:rsid w:val="2326F96F"/>
    <w:rsid w:val="2330CC07"/>
    <w:rsid w:val="23FA49BB"/>
    <w:rsid w:val="245AFE1E"/>
    <w:rsid w:val="25642F04"/>
    <w:rsid w:val="283EDF6A"/>
    <w:rsid w:val="2885912E"/>
    <w:rsid w:val="29C26E5D"/>
    <w:rsid w:val="2A3430F8"/>
    <w:rsid w:val="2BCB4D77"/>
    <w:rsid w:val="2BD03EC2"/>
    <w:rsid w:val="2C8ED944"/>
    <w:rsid w:val="2C987DAE"/>
    <w:rsid w:val="2CA2AE69"/>
    <w:rsid w:val="2ED47D7B"/>
    <w:rsid w:val="312B6E9A"/>
    <w:rsid w:val="312C90BA"/>
    <w:rsid w:val="31765CF5"/>
    <w:rsid w:val="33E66EF8"/>
    <w:rsid w:val="345D06E4"/>
    <w:rsid w:val="348F70F2"/>
    <w:rsid w:val="34FA7C8A"/>
    <w:rsid w:val="38B9E01B"/>
    <w:rsid w:val="3B8941CC"/>
    <w:rsid w:val="3CB4E1B7"/>
    <w:rsid w:val="3CFEF812"/>
    <w:rsid w:val="3D18206F"/>
    <w:rsid w:val="3DA61C02"/>
    <w:rsid w:val="3E36DF4A"/>
    <w:rsid w:val="3F12ADEC"/>
    <w:rsid w:val="3FCEC790"/>
    <w:rsid w:val="404A373D"/>
    <w:rsid w:val="418974B6"/>
    <w:rsid w:val="4667A1FF"/>
    <w:rsid w:val="4737B0F1"/>
    <w:rsid w:val="4803AFC9"/>
    <w:rsid w:val="48282948"/>
    <w:rsid w:val="483B1063"/>
    <w:rsid w:val="490475A3"/>
    <w:rsid w:val="49517224"/>
    <w:rsid w:val="498F4389"/>
    <w:rsid w:val="4A4F23AF"/>
    <w:rsid w:val="4AFCDAC9"/>
    <w:rsid w:val="4C3C1F75"/>
    <w:rsid w:val="4F0798D5"/>
    <w:rsid w:val="4F7FBC29"/>
    <w:rsid w:val="51407F91"/>
    <w:rsid w:val="5157DC64"/>
    <w:rsid w:val="523AD8E1"/>
    <w:rsid w:val="52A086E9"/>
    <w:rsid w:val="532017F1"/>
    <w:rsid w:val="532CFCAA"/>
    <w:rsid w:val="548A94B2"/>
    <w:rsid w:val="56D6C4AE"/>
    <w:rsid w:val="5717DB78"/>
    <w:rsid w:val="5ACE397A"/>
    <w:rsid w:val="5BAA35D1"/>
    <w:rsid w:val="5D703695"/>
    <w:rsid w:val="5F0D9630"/>
    <w:rsid w:val="5FA1AA9D"/>
    <w:rsid w:val="6016DC67"/>
    <w:rsid w:val="60224A2F"/>
    <w:rsid w:val="63529D04"/>
    <w:rsid w:val="63EA3820"/>
    <w:rsid w:val="650B6272"/>
    <w:rsid w:val="685856C0"/>
    <w:rsid w:val="686B3B59"/>
    <w:rsid w:val="69C36416"/>
    <w:rsid w:val="6ACC10CB"/>
    <w:rsid w:val="6B005440"/>
    <w:rsid w:val="6D3E1511"/>
    <w:rsid w:val="6ED781B1"/>
    <w:rsid w:val="6EF3E9E3"/>
    <w:rsid w:val="6F79F323"/>
    <w:rsid w:val="7008E0C1"/>
    <w:rsid w:val="700D36DF"/>
    <w:rsid w:val="72415B57"/>
    <w:rsid w:val="7353F063"/>
    <w:rsid w:val="747A04B3"/>
    <w:rsid w:val="74D03679"/>
    <w:rsid w:val="75DDECF4"/>
    <w:rsid w:val="7630F4A2"/>
    <w:rsid w:val="769A7B4D"/>
    <w:rsid w:val="78216ED7"/>
    <w:rsid w:val="7A2E5A08"/>
    <w:rsid w:val="7CE3407C"/>
    <w:rsid w:val="7D4D308B"/>
    <w:rsid w:val="7D8B4948"/>
    <w:rsid w:val="7E480E38"/>
    <w:rsid w:val="7F4B5A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width-percent:385;mso-width-relative:margin;mso-height-relative:margin" fillcolor="none [3214]" stroke="f">
      <v:fill color="none [3214]"/>
      <v:stroke weight=".5pt" on="f"/>
      <v:textbox style="mso-fit-shape-to-text:t" inset=",0,,0"/>
    </o:shapedefaults>
    <o:shapelayout v:ext="edit">
      <o:idmap v:ext="edit" data="2"/>
    </o:shapelayout>
  </w:shapeDefaults>
  <w:decimalSymbol w:val="."/>
  <w:listSeparator w:val=","/>
  <w14:docId w14:val="0288F65D"/>
  <w15:docId w15:val="{0AEAD529-686F-2548-A1D1-5FA832F2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es-MX"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A28"/>
    <w:pPr>
      <w:adjustRightInd w:val="0"/>
      <w:snapToGrid w:val="0"/>
      <w:spacing w:after="240" w:line="264" w:lineRule="auto"/>
    </w:pPr>
    <w:rPr>
      <w:rFonts w:ascii="Arial" w:hAnsi="Arial"/>
      <w:color w:val="00000A"/>
      <w:sz w:val="22"/>
    </w:rPr>
  </w:style>
  <w:style w:type="paragraph" w:styleId="Heading1">
    <w:name w:val="heading 1"/>
    <w:link w:val="Heading1Char"/>
    <w:uiPriority w:val="9"/>
    <w:qFormat/>
    <w:rsid w:val="00545EB8"/>
    <w:pPr>
      <w:snapToGrid w:val="0"/>
      <w:spacing w:before="360" w:after="180" w:line="264" w:lineRule="auto"/>
      <w:outlineLvl w:val="0"/>
    </w:pPr>
    <w:rPr>
      <w:rFonts w:ascii="Arial" w:eastAsia="Times New Roman" w:hAnsi="Arial"/>
      <w:b/>
      <w:bCs/>
      <w:color w:val="00AD86"/>
      <w:sz w:val="30"/>
    </w:rPr>
  </w:style>
  <w:style w:type="paragraph" w:styleId="Heading2">
    <w:name w:val="heading 2"/>
    <w:next w:val="Normal"/>
    <w:link w:val="Heading2Char"/>
    <w:uiPriority w:val="9"/>
    <w:unhideWhenUsed/>
    <w:qFormat/>
    <w:rsid w:val="00D10DF5"/>
    <w:pPr>
      <w:keepNext/>
      <w:keepLines/>
      <w:snapToGrid w:val="0"/>
      <w:spacing w:after="180" w:line="264" w:lineRule="auto"/>
      <w:outlineLvl w:val="1"/>
    </w:pPr>
    <w:rPr>
      <w:rFonts w:ascii="Arial" w:eastAsia="Times New Roman" w:hAnsi="Arial"/>
      <w:b/>
      <w:sz w:val="27"/>
      <w:lang w:eastAsia="en-GB" w:bidi="ar-SA"/>
    </w:rPr>
  </w:style>
  <w:style w:type="paragraph" w:styleId="Heading3">
    <w:name w:val="heading 3"/>
    <w:next w:val="Normal"/>
    <w:link w:val="Heading3Char"/>
    <w:uiPriority w:val="9"/>
    <w:unhideWhenUsed/>
    <w:qFormat/>
    <w:rsid w:val="009F29F5"/>
    <w:pPr>
      <w:shd w:val="clear" w:color="auto" w:fill="FFFFFF"/>
      <w:snapToGrid w:val="0"/>
      <w:spacing w:after="60"/>
      <w:outlineLvl w:val="2"/>
    </w:pPr>
    <w:rPr>
      <w:rFonts w:ascii="Arial" w:eastAsia="Times New Roman" w:hAnsi="Arial"/>
      <w:b/>
      <w:color w:val="8E3061" w:themeColor="accent3"/>
      <w:sz w:val="24"/>
      <w:lang w:eastAsia="en-GB" w:bidi="ar-SA"/>
    </w:rPr>
  </w:style>
  <w:style w:type="paragraph" w:styleId="Heading4">
    <w:name w:val="heading 4"/>
    <w:next w:val="Normal"/>
    <w:link w:val="Heading4Char"/>
    <w:uiPriority w:val="9"/>
    <w:semiHidden/>
    <w:unhideWhenUsed/>
    <w:rsid w:val="00955016"/>
    <w:pPr>
      <w:keepNext/>
      <w:keepLines/>
      <w:spacing w:before="40"/>
      <w:outlineLvl w:val="3"/>
    </w:pPr>
    <w:rPr>
      <w:rFonts w:asciiTheme="majorHAnsi" w:eastAsiaTheme="majorEastAsia" w:hAnsiTheme="majorHAnsi" w:cs="Mangal"/>
      <w:i/>
      <w:iCs/>
      <w:color w:val="008163"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717AC"/>
    <w:rPr>
      <w:color w:val="000080"/>
      <w:u w:val="single"/>
    </w:rPr>
  </w:style>
  <w:style w:type="paragraph" w:customStyle="1" w:styleId="Heading">
    <w:name w:val="Heading"/>
    <w:basedOn w:val="Normal"/>
    <w:next w:val="Normal"/>
    <w:rsid w:val="000717AC"/>
    <w:pPr>
      <w:keepNext/>
      <w:spacing w:before="240" w:after="120"/>
    </w:pPr>
    <w:rPr>
      <w:rFonts w:ascii="Liberation Sans" w:eastAsia="Microsoft YaHei" w:hAnsi="Liberation Sans"/>
      <w:sz w:val="28"/>
      <w:szCs w:val="28"/>
    </w:rPr>
  </w:style>
  <w:style w:type="paragraph" w:styleId="List">
    <w:name w:val="List"/>
    <w:basedOn w:val="Normal"/>
    <w:rsid w:val="00955821"/>
    <w:pPr>
      <w:spacing w:after="140" w:line="288" w:lineRule="auto"/>
    </w:pPr>
  </w:style>
  <w:style w:type="paragraph" w:customStyle="1" w:styleId="Index">
    <w:name w:val="Index"/>
    <w:rsid w:val="000717AC"/>
    <w:rPr>
      <w:rFonts w:ascii="Arial" w:hAnsi="Arial"/>
      <w:noProof/>
      <w:color w:val="00000A"/>
      <w:sz w:val="24"/>
      <w:lang w:eastAsia="en-GB" w:bidi="ar-SA"/>
    </w:rPr>
  </w:style>
  <w:style w:type="paragraph" w:styleId="Footer">
    <w:name w:val="footer"/>
    <w:basedOn w:val="Normal"/>
    <w:rsid w:val="000717AC"/>
    <w:pPr>
      <w:suppressLineNumbers/>
      <w:tabs>
        <w:tab w:val="center" w:pos="4819"/>
        <w:tab w:val="right" w:pos="9638"/>
      </w:tabs>
    </w:pPr>
  </w:style>
  <w:style w:type="paragraph" w:customStyle="1" w:styleId="FrameContents">
    <w:name w:val="Frame Contents"/>
    <w:basedOn w:val="Normal"/>
    <w:rsid w:val="000717AC"/>
    <w:pPr>
      <w:spacing w:after="0"/>
    </w:pPr>
    <w:rPr>
      <w:b/>
      <w:bCs/>
      <w:color w:val="FFFFFF"/>
    </w:rPr>
  </w:style>
  <w:style w:type="character" w:styleId="Hyperlink">
    <w:name w:val="Hyperlink"/>
    <w:uiPriority w:val="99"/>
    <w:unhideWhenUsed/>
    <w:rsid w:val="000717AC"/>
    <w:rPr>
      <w:color w:val="00B084"/>
      <w:u w:val="single"/>
    </w:rPr>
  </w:style>
  <w:style w:type="paragraph" w:styleId="ListParagraph">
    <w:name w:val="List Paragraph"/>
    <w:basedOn w:val="Normal"/>
    <w:uiPriority w:val="34"/>
    <w:qFormat/>
    <w:rsid w:val="003F5184"/>
    <w:pPr>
      <w:numPr>
        <w:numId w:val="5"/>
      </w:numPr>
      <w:contextualSpacing/>
    </w:pPr>
    <w:rPr>
      <w:rFonts w:eastAsia="Arial"/>
      <w:color w:val="auto"/>
      <w:szCs w:val="22"/>
      <w:lang w:eastAsia="en-US" w:bidi="ar-SA"/>
    </w:rPr>
  </w:style>
  <w:style w:type="character" w:customStyle="1" w:styleId="Heading1Char">
    <w:name w:val="Heading 1 Char"/>
    <w:link w:val="Heading1"/>
    <w:uiPriority w:val="9"/>
    <w:rsid w:val="00545EB8"/>
    <w:rPr>
      <w:rFonts w:ascii="Arial" w:eastAsia="Times New Roman" w:hAnsi="Arial"/>
      <w:b/>
      <w:bCs/>
      <w:color w:val="00AD86"/>
      <w:sz w:val="30"/>
      <w:lang w:val="es-MX"/>
    </w:rPr>
  </w:style>
  <w:style w:type="paragraph" w:styleId="EndnoteText">
    <w:name w:val="endnote text"/>
    <w:basedOn w:val="Normal"/>
    <w:link w:val="EndnoteTextChar"/>
    <w:rsid w:val="000717AC"/>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sz w:val="20"/>
      <w:szCs w:val="20"/>
      <w:u w:color="000000"/>
      <w:lang w:eastAsia="en-US" w:bidi="ar-SA"/>
    </w:rPr>
  </w:style>
  <w:style w:type="character" w:customStyle="1" w:styleId="EndnoteTextChar">
    <w:name w:val="Endnote Text Char"/>
    <w:link w:val="EndnoteText"/>
    <w:rsid w:val="000717AC"/>
    <w:rPr>
      <w:rFonts w:ascii="Calibri" w:eastAsia="Times New Roman" w:hAnsi="Calibri" w:cs="Calibri"/>
      <w:color w:val="000000"/>
      <w:szCs w:val="20"/>
      <w:u w:color="000000"/>
      <w:lang w:val="es-MX" w:eastAsia="en-US" w:bidi="ar-SA"/>
    </w:rPr>
  </w:style>
  <w:style w:type="character" w:customStyle="1" w:styleId="Link">
    <w:name w:val="Link"/>
    <w:rsid w:val="000717AC"/>
    <w:rPr>
      <w:color w:val="0563C1"/>
      <w:u w:val="single" w:color="0563C1"/>
    </w:rPr>
  </w:style>
  <w:style w:type="character" w:customStyle="1" w:styleId="Hyperlink1">
    <w:name w:val="Hyperlink.1"/>
    <w:rsid w:val="000717AC"/>
    <w:rPr>
      <w:rFonts w:cs="Times New Roman"/>
      <w:color w:val="000000"/>
      <w:u w:val="single" w:color="000000"/>
    </w:rPr>
  </w:style>
  <w:style w:type="character" w:customStyle="1" w:styleId="Hyperlink0">
    <w:name w:val="Hyperlink.0"/>
    <w:rsid w:val="000717AC"/>
    <w:rPr>
      <w:rFonts w:cs="Times New Roman"/>
      <w:color w:val="000000"/>
      <w:u w:val="single" w:color="000000"/>
    </w:rPr>
  </w:style>
  <w:style w:type="paragraph" w:styleId="BalloonText">
    <w:name w:val="Balloon Text"/>
    <w:basedOn w:val="Normal"/>
    <w:link w:val="BalloonTextChar"/>
    <w:uiPriority w:val="99"/>
    <w:semiHidden/>
    <w:unhideWhenUsed/>
    <w:rsid w:val="000717AC"/>
    <w:rPr>
      <w:rFonts w:ascii="Tahoma" w:hAnsi="Tahoma" w:cs="Mangal"/>
      <w:sz w:val="16"/>
      <w:szCs w:val="14"/>
    </w:rPr>
  </w:style>
  <w:style w:type="character" w:customStyle="1" w:styleId="BalloonTextChar">
    <w:name w:val="Balloon Text Char"/>
    <w:link w:val="BalloonText"/>
    <w:uiPriority w:val="99"/>
    <w:semiHidden/>
    <w:rsid w:val="000717AC"/>
    <w:rPr>
      <w:rFonts w:ascii="Tahoma" w:hAnsi="Tahoma" w:cs="Mangal"/>
      <w:color w:val="00000A"/>
      <w:sz w:val="16"/>
      <w:szCs w:val="14"/>
    </w:rPr>
  </w:style>
  <w:style w:type="character" w:styleId="CommentReference">
    <w:name w:val="annotation reference"/>
    <w:uiPriority w:val="99"/>
    <w:semiHidden/>
    <w:unhideWhenUsed/>
    <w:rsid w:val="000717AC"/>
    <w:rPr>
      <w:sz w:val="16"/>
      <w:szCs w:val="16"/>
    </w:rPr>
  </w:style>
  <w:style w:type="paragraph" w:styleId="CommentSubject">
    <w:name w:val="annotation subject"/>
    <w:basedOn w:val="Normal"/>
    <w:next w:val="Normal"/>
    <w:link w:val="CommentSubjectChar"/>
    <w:uiPriority w:val="99"/>
    <w:semiHidden/>
    <w:unhideWhenUsed/>
    <w:rsid w:val="00E90198"/>
    <w:rPr>
      <w:rFonts w:cs="Mangal"/>
      <w:b/>
      <w:bCs/>
      <w:sz w:val="20"/>
      <w:szCs w:val="18"/>
    </w:rPr>
  </w:style>
  <w:style w:type="character" w:customStyle="1" w:styleId="CommentSubjectChar">
    <w:name w:val="Comment Subject Char"/>
    <w:link w:val="CommentSubject"/>
    <w:uiPriority w:val="99"/>
    <w:semiHidden/>
    <w:rsid w:val="000717AC"/>
    <w:rPr>
      <w:rFonts w:ascii="Arial" w:hAnsi="Arial" w:cs="Mangal"/>
      <w:b/>
      <w:bCs/>
      <w:color w:val="00000A"/>
      <w:szCs w:val="18"/>
    </w:rPr>
  </w:style>
  <w:style w:type="character" w:customStyle="1" w:styleId="Heading2Char">
    <w:name w:val="Heading 2 Char"/>
    <w:link w:val="Heading2"/>
    <w:uiPriority w:val="9"/>
    <w:rsid w:val="00D10DF5"/>
    <w:rPr>
      <w:rFonts w:ascii="Arial" w:eastAsia="Times New Roman" w:hAnsi="Arial"/>
      <w:b/>
      <w:sz w:val="27"/>
      <w:lang w:eastAsia="en-GB" w:bidi="ar-SA"/>
    </w:rPr>
  </w:style>
  <w:style w:type="character" w:customStyle="1" w:styleId="Heading3Char">
    <w:name w:val="Heading 3 Char"/>
    <w:link w:val="Heading3"/>
    <w:uiPriority w:val="9"/>
    <w:rsid w:val="009F29F5"/>
    <w:rPr>
      <w:rFonts w:ascii="Arial" w:eastAsia="Times New Roman" w:hAnsi="Arial"/>
      <w:b/>
      <w:color w:val="8E3061" w:themeColor="accent3"/>
      <w:sz w:val="24"/>
      <w:shd w:val="clear" w:color="auto" w:fill="FFFFFF"/>
      <w:lang w:eastAsia="en-GB" w:bidi="ar-SA"/>
    </w:rPr>
  </w:style>
  <w:style w:type="character" w:styleId="EndnoteReference">
    <w:name w:val="endnote reference"/>
    <w:uiPriority w:val="99"/>
    <w:semiHidden/>
    <w:unhideWhenUsed/>
    <w:rsid w:val="00A5454B"/>
    <w:rPr>
      <w:rFonts w:ascii="Arial" w:hAnsi="Arial"/>
      <w:b w:val="0"/>
      <w:color w:val="00AD86"/>
      <w:vertAlign w:val="superscript"/>
    </w:rPr>
  </w:style>
  <w:style w:type="character" w:styleId="UnresolvedMention">
    <w:name w:val="Unresolved Mention"/>
    <w:uiPriority w:val="99"/>
    <w:semiHidden/>
    <w:unhideWhenUsed/>
    <w:rsid w:val="000717AC"/>
    <w:rPr>
      <w:color w:val="605E5C"/>
      <w:shd w:val="clear" w:color="auto" w:fill="E1DFDD"/>
    </w:rPr>
  </w:style>
  <w:style w:type="character" w:styleId="FollowedHyperlink">
    <w:name w:val="FollowedHyperlink"/>
    <w:uiPriority w:val="99"/>
    <w:semiHidden/>
    <w:unhideWhenUsed/>
    <w:rsid w:val="000717AC"/>
    <w:rPr>
      <w:color w:val="00AD86"/>
      <w:u w:val="single"/>
    </w:rPr>
  </w:style>
  <w:style w:type="paragraph" w:customStyle="1" w:styleId="AboutFIGO">
    <w:name w:val="About FIGO"/>
    <w:basedOn w:val="Heading3"/>
    <w:rsid w:val="005D40F3"/>
    <w:pPr>
      <w:spacing w:before="480"/>
    </w:pPr>
  </w:style>
  <w:style w:type="paragraph" w:styleId="NoSpacing">
    <w:name w:val="No Spacing"/>
    <w:aliases w:val="Table para"/>
    <w:uiPriority w:val="1"/>
    <w:qFormat/>
    <w:rsid w:val="000717AC"/>
    <w:pPr>
      <w:snapToGrid w:val="0"/>
    </w:pPr>
    <w:rPr>
      <w:rFonts w:ascii="Arial" w:hAnsi="Arial" w:cs="Mangal"/>
      <w:color w:val="00000A"/>
      <w:sz w:val="22"/>
    </w:rPr>
  </w:style>
  <w:style w:type="paragraph" w:customStyle="1" w:styleId="References">
    <w:name w:val="References"/>
    <w:basedOn w:val="NoSpacing"/>
    <w:qFormat/>
    <w:rsid w:val="003B609D"/>
    <w:pPr>
      <w:spacing w:after="20" w:line="264" w:lineRule="auto"/>
    </w:pPr>
    <w:rPr>
      <w:sz w:val="20"/>
      <w:szCs w:val="18"/>
    </w:rPr>
  </w:style>
  <w:style w:type="paragraph" w:styleId="Revision">
    <w:name w:val="Revision"/>
    <w:hidden/>
    <w:uiPriority w:val="99"/>
    <w:semiHidden/>
    <w:rsid w:val="00D36D5E"/>
    <w:rPr>
      <w:rFonts w:ascii="Arial" w:hAnsi="Arial" w:cs="Mangal"/>
      <w:color w:val="00000A"/>
      <w:sz w:val="22"/>
    </w:rPr>
  </w:style>
  <w:style w:type="paragraph" w:styleId="Title">
    <w:name w:val="Title"/>
    <w:next w:val="Normal"/>
    <w:link w:val="TitleChar"/>
    <w:uiPriority w:val="10"/>
    <w:qFormat/>
    <w:rsid w:val="006B6D87"/>
    <w:pPr>
      <w:spacing w:after="240" w:line="288" w:lineRule="auto"/>
    </w:pPr>
    <w:rPr>
      <w:rFonts w:ascii="Arial" w:eastAsia="Times New Roman" w:hAnsi="Arial"/>
      <w:b/>
      <w:bCs/>
      <w:color w:val="00AD86" w:themeColor="accent1"/>
      <w:spacing w:val="-2"/>
      <w:sz w:val="44"/>
      <w:szCs w:val="36"/>
    </w:rPr>
  </w:style>
  <w:style w:type="character" w:customStyle="1" w:styleId="TitleChar">
    <w:name w:val="Title Char"/>
    <w:basedOn w:val="DefaultParagraphFont"/>
    <w:link w:val="Title"/>
    <w:uiPriority w:val="10"/>
    <w:rsid w:val="006B6D87"/>
    <w:rPr>
      <w:rFonts w:ascii="Arial" w:eastAsia="Times New Roman" w:hAnsi="Arial"/>
      <w:b/>
      <w:bCs/>
      <w:color w:val="00AD86" w:themeColor="accent1"/>
      <w:spacing w:val="-2"/>
      <w:sz w:val="44"/>
      <w:szCs w:val="36"/>
    </w:rPr>
  </w:style>
  <w:style w:type="character" w:styleId="PlaceholderText">
    <w:name w:val="Placeholder Text"/>
    <w:basedOn w:val="DefaultParagraphFont"/>
    <w:uiPriority w:val="99"/>
    <w:semiHidden/>
    <w:rsid w:val="00821DC8"/>
    <w:rPr>
      <w:rFonts w:ascii="Arial" w:hAnsi="Arial"/>
      <w:color w:val="808080"/>
      <w:sz w:val="22"/>
    </w:rPr>
  </w:style>
  <w:style w:type="character" w:customStyle="1" w:styleId="Heading4Char">
    <w:name w:val="Heading 4 Char"/>
    <w:basedOn w:val="DefaultParagraphFont"/>
    <w:link w:val="Heading4"/>
    <w:uiPriority w:val="9"/>
    <w:semiHidden/>
    <w:rsid w:val="00955016"/>
    <w:rPr>
      <w:rFonts w:asciiTheme="majorHAnsi" w:eastAsiaTheme="majorEastAsia" w:hAnsiTheme="majorHAnsi" w:cs="Mangal"/>
      <w:i/>
      <w:iCs/>
      <w:color w:val="008163" w:themeColor="accent1" w:themeShade="BF"/>
      <w:sz w:val="22"/>
    </w:rPr>
  </w:style>
  <w:style w:type="paragraph" w:styleId="Header">
    <w:name w:val="header"/>
    <w:basedOn w:val="Normal"/>
    <w:link w:val="HeaderChar"/>
    <w:uiPriority w:val="99"/>
    <w:unhideWhenUsed/>
    <w:rsid w:val="004204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204B4"/>
    <w:rPr>
      <w:rFonts w:ascii="Arial" w:hAnsi="Arial" w:cs="Mangal"/>
      <w:color w:val="00000A"/>
      <w:sz w:val="22"/>
    </w:rPr>
  </w:style>
  <w:style w:type="numbering" w:customStyle="1" w:styleId="CurrentList1">
    <w:name w:val="Current List1"/>
    <w:uiPriority w:val="99"/>
    <w:rsid w:val="003F5184"/>
    <w:pPr>
      <w:numPr>
        <w:numId w:val="6"/>
      </w:numPr>
    </w:pPr>
  </w:style>
  <w:style w:type="paragraph" w:styleId="Subtitle">
    <w:name w:val="Subtitle"/>
    <w:basedOn w:val="Heading2"/>
    <w:next w:val="Normal"/>
    <w:link w:val="SubtitleChar"/>
    <w:uiPriority w:val="11"/>
    <w:qFormat/>
    <w:rsid w:val="00E06704"/>
    <w:pPr>
      <w:spacing w:after="360" w:line="312" w:lineRule="auto"/>
    </w:pPr>
    <w:rPr>
      <w:rFonts w:asciiTheme="minorHAnsi" w:eastAsiaTheme="majorEastAsia" w:hAnsiTheme="minorHAnsi" w:cstheme="majorBidi"/>
      <w:b w:val="0"/>
      <w:color w:val="181617" w:themeColor="text2"/>
      <w:sz w:val="28"/>
      <w:szCs w:val="26"/>
      <w:lang w:eastAsia="en-US"/>
    </w:rPr>
  </w:style>
  <w:style w:type="character" w:customStyle="1" w:styleId="SubtitleChar">
    <w:name w:val="Subtitle Char"/>
    <w:basedOn w:val="DefaultParagraphFont"/>
    <w:link w:val="Subtitle"/>
    <w:uiPriority w:val="11"/>
    <w:rsid w:val="00E06704"/>
    <w:rPr>
      <w:rFonts w:asciiTheme="minorHAnsi" w:eastAsiaTheme="majorEastAsia" w:hAnsiTheme="minorHAnsi" w:cstheme="majorBidi"/>
      <w:color w:val="181617" w:themeColor="text2"/>
      <w:sz w:val="28"/>
      <w:szCs w:val="26"/>
      <w:lang w:eastAsia="en-US" w:bidi="ar-SA"/>
    </w:rPr>
  </w:style>
  <w:style w:type="table" w:styleId="TableGrid">
    <w:name w:val="Table Grid"/>
    <w:basedOn w:val="TableNormal"/>
    <w:uiPriority w:val="39"/>
    <w:rsid w:val="00E06704"/>
    <w:rPr>
      <w:rFonts w:asciiTheme="minorHAnsi" w:eastAsiaTheme="minorHAnsi" w:hAnsiTheme="minorHAnsi" w:cstheme="minorBidi"/>
      <w:sz w:val="24"/>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DB23E7"/>
    <w:pPr>
      <w:spacing w:line="240" w:lineRule="auto"/>
    </w:pPr>
    <w:rPr>
      <w:rFonts w:cs="Mangal"/>
      <w:sz w:val="20"/>
      <w:szCs w:val="18"/>
    </w:rPr>
  </w:style>
  <w:style w:type="character" w:customStyle="1" w:styleId="CommentTextChar">
    <w:name w:val="Comment Text Char"/>
    <w:basedOn w:val="DefaultParagraphFont"/>
    <w:link w:val="CommentText"/>
    <w:uiPriority w:val="99"/>
    <w:rsid w:val="00DB23E7"/>
    <w:rPr>
      <w:rFonts w:ascii="Arial" w:hAnsi="Arial" w:cs="Mangal"/>
      <w:color w:val="00000A"/>
      <w:szCs w:val="18"/>
    </w:rPr>
  </w:style>
  <w:style w:type="paragraph" w:styleId="FootnoteText">
    <w:name w:val="footnote text"/>
    <w:basedOn w:val="Normal"/>
    <w:link w:val="FootnoteTextChar"/>
    <w:uiPriority w:val="99"/>
    <w:semiHidden/>
    <w:unhideWhenUsed/>
    <w:rsid w:val="006522FB"/>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6522FB"/>
    <w:rPr>
      <w:rFonts w:ascii="Arial" w:hAnsi="Arial" w:cs="Mangal"/>
      <w:color w:val="00000A"/>
      <w:szCs w:val="18"/>
    </w:rPr>
  </w:style>
  <w:style w:type="character" w:styleId="FootnoteReference">
    <w:name w:val="footnote reference"/>
    <w:basedOn w:val="DefaultParagraphFont"/>
    <w:uiPriority w:val="99"/>
    <w:semiHidden/>
    <w:unhideWhenUsed/>
    <w:rsid w:val="006522FB"/>
    <w:rPr>
      <w:vertAlign w:val="superscript"/>
    </w:rPr>
  </w:style>
  <w:style w:type="character" w:customStyle="1" w:styleId="author">
    <w:name w:val="author"/>
    <w:basedOn w:val="DefaultParagraphFont"/>
    <w:rsid w:val="001B5FA2"/>
  </w:style>
  <w:style w:type="character" w:customStyle="1" w:styleId="articletitle">
    <w:name w:val="articletitle"/>
    <w:basedOn w:val="DefaultParagraphFont"/>
    <w:rsid w:val="001B5FA2"/>
  </w:style>
  <w:style w:type="character" w:customStyle="1" w:styleId="pubyear">
    <w:name w:val="pubyear"/>
    <w:basedOn w:val="DefaultParagraphFont"/>
    <w:rsid w:val="001B5FA2"/>
  </w:style>
  <w:style w:type="character" w:customStyle="1" w:styleId="vol">
    <w:name w:val="vol"/>
    <w:basedOn w:val="DefaultParagraphFont"/>
    <w:rsid w:val="001B5FA2"/>
  </w:style>
  <w:style w:type="character" w:customStyle="1" w:styleId="pagefirst">
    <w:name w:val="pagefirst"/>
    <w:basedOn w:val="DefaultParagraphFont"/>
    <w:rsid w:val="001B5FA2"/>
  </w:style>
  <w:style w:type="character" w:customStyle="1" w:styleId="pagelast">
    <w:name w:val="pagelast"/>
    <w:basedOn w:val="DefaultParagraphFont"/>
    <w:rsid w:val="001B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795">
      <w:bodyDiv w:val="1"/>
      <w:marLeft w:val="0"/>
      <w:marRight w:val="0"/>
      <w:marTop w:val="0"/>
      <w:marBottom w:val="0"/>
      <w:divBdr>
        <w:top w:val="none" w:sz="0" w:space="0" w:color="auto"/>
        <w:left w:val="none" w:sz="0" w:space="0" w:color="auto"/>
        <w:bottom w:val="none" w:sz="0" w:space="0" w:color="auto"/>
        <w:right w:val="none" w:sz="0" w:space="0" w:color="auto"/>
      </w:divBdr>
    </w:div>
    <w:div w:id="76748892">
      <w:bodyDiv w:val="1"/>
      <w:marLeft w:val="0"/>
      <w:marRight w:val="0"/>
      <w:marTop w:val="0"/>
      <w:marBottom w:val="0"/>
      <w:divBdr>
        <w:top w:val="none" w:sz="0" w:space="0" w:color="auto"/>
        <w:left w:val="none" w:sz="0" w:space="0" w:color="auto"/>
        <w:bottom w:val="none" w:sz="0" w:space="0" w:color="auto"/>
        <w:right w:val="none" w:sz="0" w:space="0" w:color="auto"/>
      </w:divBdr>
    </w:div>
    <w:div w:id="91095851">
      <w:bodyDiv w:val="1"/>
      <w:marLeft w:val="0"/>
      <w:marRight w:val="0"/>
      <w:marTop w:val="0"/>
      <w:marBottom w:val="0"/>
      <w:divBdr>
        <w:top w:val="none" w:sz="0" w:space="0" w:color="auto"/>
        <w:left w:val="none" w:sz="0" w:space="0" w:color="auto"/>
        <w:bottom w:val="none" w:sz="0" w:space="0" w:color="auto"/>
        <w:right w:val="none" w:sz="0" w:space="0" w:color="auto"/>
      </w:divBdr>
    </w:div>
    <w:div w:id="176047234">
      <w:bodyDiv w:val="1"/>
      <w:marLeft w:val="0"/>
      <w:marRight w:val="0"/>
      <w:marTop w:val="0"/>
      <w:marBottom w:val="0"/>
      <w:divBdr>
        <w:top w:val="none" w:sz="0" w:space="0" w:color="auto"/>
        <w:left w:val="none" w:sz="0" w:space="0" w:color="auto"/>
        <w:bottom w:val="none" w:sz="0" w:space="0" w:color="auto"/>
        <w:right w:val="none" w:sz="0" w:space="0" w:color="auto"/>
      </w:divBdr>
    </w:div>
    <w:div w:id="212933005">
      <w:bodyDiv w:val="1"/>
      <w:marLeft w:val="0"/>
      <w:marRight w:val="0"/>
      <w:marTop w:val="0"/>
      <w:marBottom w:val="0"/>
      <w:divBdr>
        <w:top w:val="none" w:sz="0" w:space="0" w:color="auto"/>
        <w:left w:val="none" w:sz="0" w:space="0" w:color="auto"/>
        <w:bottom w:val="none" w:sz="0" w:space="0" w:color="auto"/>
        <w:right w:val="none" w:sz="0" w:space="0" w:color="auto"/>
      </w:divBdr>
    </w:div>
    <w:div w:id="264122005">
      <w:bodyDiv w:val="1"/>
      <w:marLeft w:val="0"/>
      <w:marRight w:val="0"/>
      <w:marTop w:val="0"/>
      <w:marBottom w:val="0"/>
      <w:divBdr>
        <w:top w:val="none" w:sz="0" w:space="0" w:color="auto"/>
        <w:left w:val="none" w:sz="0" w:space="0" w:color="auto"/>
        <w:bottom w:val="none" w:sz="0" w:space="0" w:color="auto"/>
        <w:right w:val="none" w:sz="0" w:space="0" w:color="auto"/>
      </w:divBdr>
    </w:div>
    <w:div w:id="284384874">
      <w:bodyDiv w:val="1"/>
      <w:marLeft w:val="0"/>
      <w:marRight w:val="0"/>
      <w:marTop w:val="0"/>
      <w:marBottom w:val="0"/>
      <w:divBdr>
        <w:top w:val="none" w:sz="0" w:space="0" w:color="auto"/>
        <w:left w:val="none" w:sz="0" w:space="0" w:color="auto"/>
        <w:bottom w:val="none" w:sz="0" w:space="0" w:color="auto"/>
        <w:right w:val="none" w:sz="0" w:space="0" w:color="auto"/>
      </w:divBdr>
      <w:divsChild>
        <w:div w:id="261686836">
          <w:marLeft w:val="0"/>
          <w:marRight w:val="0"/>
          <w:marTop w:val="0"/>
          <w:marBottom w:val="0"/>
          <w:divBdr>
            <w:top w:val="none" w:sz="0" w:space="0" w:color="auto"/>
            <w:left w:val="none" w:sz="0" w:space="0" w:color="auto"/>
            <w:bottom w:val="none" w:sz="0" w:space="0" w:color="auto"/>
            <w:right w:val="none" w:sz="0" w:space="0" w:color="auto"/>
          </w:divBdr>
        </w:div>
        <w:div w:id="2019117582">
          <w:marLeft w:val="0"/>
          <w:marRight w:val="0"/>
          <w:marTop w:val="0"/>
          <w:marBottom w:val="0"/>
          <w:divBdr>
            <w:top w:val="none" w:sz="0" w:space="0" w:color="auto"/>
            <w:left w:val="none" w:sz="0" w:space="0" w:color="auto"/>
            <w:bottom w:val="none" w:sz="0" w:space="0" w:color="auto"/>
            <w:right w:val="none" w:sz="0" w:space="0" w:color="auto"/>
          </w:divBdr>
        </w:div>
        <w:div w:id="135923419">
          <w:marLeft w:val="0"/>
          <w:marRight w:val="0"/>
          <w:marTop w:val="0"/>
          <w:marBottom w:val="0"/>
          <w:divBdr>
            <w:top w:val="none" w:sz="0" w:space="0" w:color="auto"/>
            <w:left w:val="none" w:sz="0" w:space="0" w:color="auto"/>
            <w:bottom w:val="none" w:sz="0" w:space="0" w:color="auto"/>
            <w:right w:val="none" w:sz="0" w:space="0" w:color="auto"/>
          </w:divBdr>
        </w:div>
      </w:divsChild>
    </w:div>
    <w:div w:id="308246297">
      <w:bodyDiv w:val="1"/>
      <w:marLeft w:val="0"/>
      <w:marRight w:val="0"/>
      <w:marTop w:val="0"/>
      <w:marBottom w:val="0"/>
      <w:divBdr>
        <w:top w:val="none" w:sz="0" w:space="0" w:color="auto"/>
        <w:left w:val="none" w:sz="0" w:space="0" w:color="auto"/>
        <w:bottom w:val="none" w:sz="0" w:space="0" w:color="auto"/>
        <w:right w:val="none" w:sz="0" w:space="0" w:color="auto"/>
      </w:divBdr>
    </w:div>
    <w:div w:id="402879156">
      <w:bodyDiv w:val="1"/>
      <w:marLeft w:val="0"/>
      <w:marRight w:val="0"/>
      <w:marTop w:val="0"/>
      <w:marBottom w:val="0"/>
      <w:divBdr>
        <w:top w:val="none" w:sz="0" w:space="0" w:color="auto"/>
        <w:left w:val="none" w:sz="0" w:space="0" w:color="auto"/>
        <w:bottom w:val="none" w:sz="0" w:space="0" w:color="auto"/>
        <w:right w:val="none" w:sz="0" w:space="0" w:color="auto"/>
      </w:divBdr>
    </w:div>
    <w:div w:id="469709907">
      <w:bodyDiv w:val="1"/>
      <w:marLeft w:val="0"/>
      <w:marRight w:val="0"/>
      <w:marTop w:val="0"/>
      <w:marBottom w:val="0"/>
      <w:divBdr>
        <w:top w:val="none" w:sz="0" w:space="0" w:color="auto"/>
        <w:left w:val="none" w:sz="0" w:space="0" w:color="auto"/>
        <w:bottom w:val="none" w:sz="0" w:space="0" w:color="auto"/>
        <w:right w:val="none" w:sz="0" w:space="0" w:color="auto"/>
      </w:divBdr>
    </w:div>
    <w:div w:id="508179813">
      <w:bodyDiv w:val="1"/>
      <w:marLeft w:val="0"/>
      <w:marRight w:val="0"/>
      <w:marTop w:val="0"/>
      <w:marBottom w:val="0"/>
      <w:divBdr>
        <w:top w:val="none" w:sz="0" w:space="0" w:color="auto"/>
        <w:left w:val="none" w:sz="0" w:space="0" w:color="auto"/>
        <w:bottom w:val="none" w:sz="0" w:space="0" w:color="auto"/>
        <w:right w:val="none" w:sz="0" w:space="0" w:color="auto"/>
      </w:divBdr>
    </w:div>
    <w:div w:id="534543880">
      <w:bodyDiv w:val="1"/>
      <w:marLeft w:val="0"/>
      <w:marRight w:val="0"/>
      <w:marTop w:val="0"/>
      <w:marBottom w:val="0"/>
      <w:divBdr>
        <w:top w:val="none" w:sz="0" w:space="0" w:color="auto"/>
        <w:left w:val="none" w:sz="0" w:space="0" w:color="auto"/>
        <w:bottom w:val="none" w:sz="0" w:space="0" w:color="auto"/>
        <w:right w:val="none" w:sz="0" w:space="0" w:color="auto"/>
      </w:divBdr>
    </w:div>
    <w:div w:id="604387427">
      <w:bodyDiv w:val="1"/>
      <w:marLeft w:val="0"/>
      <w:marRight w:val="0"/>
      <w:marTop w:val="0"/>
      <w:marBottom w:val="0"/>
      <w:divBdr>
        <w:top w:val="none" w:sz="0" w:space="0" w:color="auto"/>
        <w:left w:val="none" w:sz="0" w:space="0" w:color="auto"/>
        <w:bottom w:val="none" w:sz="0" w:space="0" w:color="auto"/>
        <w:right w:val="none" w:sz="0" w:space="0" w:color="auto"/>
      </w:divBdr>
    </w:div>
    <w:div w:id="700470000">
      <w:bodyDiv w:val="1"/>
      <w:marLeft w:val="0"/>
      <w:marRight w:val="0"/>
      <w:marTop w:val="0"/>
      <w:marBottom w:val="0"/>
      <w:divBdr>
        <w:top w:val="none" w:sz="0" w:space="0" w:color="auto"/>
        <w:left w:val="none" w:sz="0" w:space="0" w:color="auto"/>
        <w:bottom w:val="none" w:sz="0" w:space="0" w:color="auto"/>
        <w:right w:val="none" w:sz="0" w:space="0" w:color="auto"/>
      </w:divBdr>
    </w:div>
    <w:div w:id="803234904">
      <w:bodyDiv w:val="1"/>
      <w:marLeft w:val="0"/>
      <w:marRight w:val="0"/>
      <w:marTop w:val="0"/>
      <w:marBottom w:val="0"/>
      <w:divBdr>
        <w:top w:val="none" w:sz="0" w:space="0" w:color="auto"/>
        <w:left w:val="none" w:sz="0" w:space="0" w:color="auto"/>
        <w:bottom w:val="none" w:sz="0" w:space="0" w:color="auto"/>
        <w:right w:val="none" w:sz="0" w:space="0" w:color="auto"/>
      </w:divBdr>
    </w:div>
    <w:div w:id="933586813">
      <w:bodyDiv w:val="1"/>
      <w:marLeft w:val="0"/>
      <w:marRight w:val="0"/>
      <w:marTop w:val="0"/>
      <w:marBottom w:val="0"/>
      <w:divBdr>
        <w:top w:val="none" w:sz="0" w:space="0" w:color="auto"/>
        <w:left w:val="none" w:sz="0" w:space="0" w:color="auto"/>
        <w:bottom w:val="none" w:sz="0" w:space="0" w:color="auto"/>
        <w:right w:val="none" w:sz="0" w:space="0" w:color="auto"/>
      </w:divBdr>
    </w:div>
    <w:div w:id="987514173">
      <w:bodyDiv w:val="1"/>
      <w:marLeft w:val="0"/>
      <w:marRight w:val="0"/>
      <w:marTop w:val="0"/>
      <w:marBottom w:val="0"/>
      <w:divBdr>
        <w:top w:val="none" w:sz="0" w:space="0" w:color="auto"/>
        <w:left w:val="none" w:sz="0" w:space="0" w:color="auto"/>
        <w:bottom w:val="none" w:sz="0" w:space="0" w:color="auto"/>
        <w:right w:val="none" w:sz="0" w:space="0" w:color="auto"/>
      </w:divBdr>
    </w:div>
    <w:div w:id="1011417445">
      <w:bodyDiv w:val="1"/>
      <w:marLeft w:val="0"/>
      <w:marRight w:val="0"/>
      <w:marTop w:val="0"/>
      <w:marBottom w:val="0"/>
      <w:divBdr>
        <w:top w:val="none" w:sz="0" w:space="0" w:color="auto"/>
        <w:left w:val="none" w:sz="0" w:space="0" w:color="auto"/>
        <w:bottom w:val="none" w:sz="0" w:space="0" w:color="auto"/>
        <w:right w:val="none" w:sz="0" w:space="0" w:color="auto"/>
      </w:divBdr>
    </w:div>
    <w:div w:id="1046371403">
      <w:bodyDiv w:val="1"/>
      <w:marLeft w:val="0"/>
      <w:marRight w:val="0"/>
      <w:marTop w:val="0"/>
      <w:marBottom w:val="0"/>
      <w:divBdr>
        <w:top w:val="none" w:sz="0" w:space="0" w:color="auto"/>
        <w:left w:val="none" w:sz="0" w:space="0" w:color="auto"/>
        <w:bottom w:val="none" w:sz="0" w:space="0" w:color="auto"/>
        <w:right w:val="none" w:sz="0" w:space="0" w:color="auto"/>
      </w:divBdr>
    </w:div>
    <w:div w:id="1084835165">
      <w:bodyDiv w:val="1"/>
      <w:marLeft w:val="0"/>
      <w:marRight w:val="0"/>
      <w:marTop w:val="0"/>
      <w:marBottom w:val="0"/>
      <w:divBdr>
        <w:top w:val="none" w:sz="0" w:space="0" w:color="auto"/>
        <w:left w:val="none" w:sz="0" w:space="0" w:color="auto"/>
        <w:bottom w:val="none" w:sz="0" w:space="0" w:color="auto"/>
        <w:right w:val="none" w:sz="0" w:space="0" w:color="auto"/>
      </w:divBdr>
    </w:div>
    <w:div w:id="1113549422">
      <w:bodyDiv w:val="1"/>
      <w:marLeft w:val="0"/>
      <w:marRight w:val="0"/>
      <w:marTop w:val="0"/>
      <w:marBottom w:val="0"/>
      <w:divBdr>
        <w:top w:val="none" w:sz="0" w:space="0" w:color="auto"/>
        <w:left w:val="none" w:sz="0" w:space="0" w:color="auto"/>
        <w:bottom w:val="none" w:sz="0" w:space="0" w:color="auto"/>
        <w:right w:val="none" w:sz="0" w:space="0" w:color="auto"/>
      </w:divBdr>
    </w:div>
    <w:div w:id="1124663646">
      <w:bodyDiv w:val="1"/>
      <w:marLeft w:val="0"/>
      <w:marRight w:val="0"/>
      <w:marTop w:val="0"/>
      <w:marBottom w:val="0"/>
      <w:divBdr>
        <w:top w:val="none" w:sz="0" w:space="0" w:color="auto"/>
        <w:left w:val="none" w:sz="0" w:space="0" w:color="auto"/>
        <w:bottom w:val="none" w:sz="0" w:space="0" w:color="auto"/>
        <w:right w:val="none" w:sz="0" w:space="0" w:color="auto"/>
      </w:divBdr>
    </w:div>
    <w:div w:id="1168986902">
      <w:bodyDiv w:val="1"/>
      <w:marLeft w:val="0"/>
      <w:marRight w:val="0"/>
      <w:marTop w:val="0"/>
      <w:marBottom w:val="0"/>
      <w:divBdr>
        <w:top w:val="none" w:sz="0" w:space="0" w:color="auto"/>
        <w:left w:val="none" w:sz="0" w:space="0" w:color="auto"/>
        <w:bottom w:val="none" w:sz="0" w:space="0" w:color="auto"/>
        <w:right w:val="none" w:sz="0" w:space="0" w:color="auto"/>
      </w:divBdr>
    </w:div>
    <w:div w:id="1218974574">
      <w:bodyDiv w:val="1"/>
      <w:marLeft w:val="0"/>
      <w:marRight w:val="0"/>
      <w:marTop w:val="0"/>
      <w:marBottom w:val="0"/>
      <w:divBdr>
        <w:top w:val="none" w:sz="0" w:space="0" w:color="auto"/>
        <w:left w:val="none" w:sz="0" w:space="0" w:color="auto"/>
        <w:bottom w:val="none" w:sz="0" w:space="0" w:color="auto"/>
        <w:right w:val="none" w:sz="0" w:space="0" w:color="auto"/>
      </w:divBdr>
    </w:div>
    <w:div w:id="1238977792">
      <w:bodyDiv w:val="1"/>
      <w:marLeft w:val="0"/>
      <w:marRight w:val="0"/>
      <w:marTop w:val="0"/>
      <w:marBottom w:val="0"/>
      <w:divBdr>
        <w:top w:val="none" w:sz="0" w:space="0" w:color="auto"/>
        <w:left w:val="none" w:sz="0" w:space="0" w:color="auto"/>
        <w:bottom w:val="none" w:sz="0" w:space="0" w:color="auto"/>
        <w:right w:val="none" w:sz="0" w:space="0" w:color="auto"/>
      </w:divBdr>
    </w:div>
    <w:div w:id="1245797019">
      <w:bodyDiv w:val="1"/>
      <w:marLeft w:val="0"/>
      <w:marRight w:val="0"/>
      <w:marTop w:val="0"/>
      <w:marBottom w:val="0"/>
      <w:divBdr>
        <w:top w:val="none" w:sz="0" w:space="0" w:color="auto"/>
        <w:left w:val="none" w:sz="0" w:space="0" w:color="auto"/>
        <w:bottom w:val="none" w:sz="0" w:space="0" w:color="auto"/>
        <w:right w:val="none" w:sz="0" w:space="0" w:color="auto"/>
      </w:divBdr>
    </w:div>
    <w:div w:id="1312104252">
      <w:bodyDiv w:val="1"/>
      <w:marLeft w:val="0"/>
      <w:marRight w:val="0"/>
      <w:marTop w:val="0"/>
      <w:marBottom w:val="0"/>
      <w:divBdr>
        <w:top w:val="none" w:sz="0" w:space="0" w:color="auto"/>
        <w:left w:val="none" w:sz="0" w:space="0" w:color="auto"/>
        <w:bottom w:val="none" w:sz="0" w:space="0" w:color="auto"/>
        <w:right w:val="none" w:sz="0" w:space="0" w:color="auto"/>
      </w:divBdr>
    </w:div>
    <w:div w:id="1483963943">
      <w:bodyDiv w:val="1"/>
      <w:marLeft w:val="0"/>
      <w:marRight w:val="0"/>
      <w:marTop w:val="0"/>
      <w:marBottom w:val="0"/>
      <w:divBdr>
        <w:top w:val="none" w:sz="0" w:space="0" w:color="auto"/>
        <w:left w:val="none" w:sz="0" w:space="0" w:color="auto"/>
        <w:bottom w:val="none" w:sz="0" w:space="0" w:color="auto"/>
        <w:right w:val="none" w:sz="0" w:space="0" w:color="auto"/>
      </w:divBdr>
    </w:div>
    <w:div w:id="1517231426">
      <w:bodyDiv w:val="1"/>
      <w:marLeft w:val="0"/>
      <w:marRight w:val="0"/>
      <w:marTop w:val="0"/>
      <w:marBottom w:val="0"/>
      <w:divBdr>
        <w:top w:val="none" w:sz="0" w:space="0" w:color="auto"/>
        <w:left w:val="none" w:sz="0" w:space="0" w:color="auto"/>
        <w:bottom w:val="none" w:sz="0" w:space="0" w:color="auto"/>
        <w:right w:val="none" w:sz="0" w:space="0" w:color="auto"/>
      </w:divBdr>
    </w:div>
    <w:div w:id="1559130948">
      <w:bodyDiv w:val="1"/>
      <w:marLeft w:val="0"/>
      <w:marRight w:val="0"/>
      <w:marTop w:val="0"/>
      <w:marBottom w:val="0"/>
      <w:divBdr>
        <w:top w:val="none" w:sz="0" w:space="0" w:color="auto"/>
        <w:left w:val="none" w:sz="0" w:space="0" w:color="auto"/>
        <w:bottom w:val="none" w:sz="0" w:space="0" w:color="auto"/>
        <w:right w:val="none" w:sz="0" w:space="0" w:color="auto"/>
      </w:divBdr>
    </w:div>
    <w:div w:id="1596475193">
      <w:bodyDiv w:val="1"/>
      <w:marLeft w:val="0"/>
      <w:marRight w:val="0"/>
      <w:marTop w:val="0"/>
      <w:marBottom w:val="0"/>
      <w:divBdr>
        <w:top w:val="none" w:sz="0" w:space="0" w:color="auto"/>
        <w:left w:val="none" w:sz="0" w:space="0" w:color="auto"/>
        <w:bottom w:val="none" w:sz="0" w:space="0" w:color="auto"/>
        <w:right w:val="none" w:sz="0" w:space="0" w:color="auto"/>
      </w:divBdr>
    </w:div>
    <w:div w:id="1619336925">
      <w:bodyDiv w:val="1"/>
      <w:marLeft w:val="0"/>
      <w:marRight w:val="0"/>
      <w:marTop w:val="0"/>
      <w:marBottom w:val="0"/>
      <w:divBdr>
        <w:top w:val="none" w:sz="0" w:space="0" w:color="auto"/>
        <w:left w:val="none" w:sz="0" w:space="0" w:color="auto"/>
        <w:bottom w:val="none" w:sz="0" w:space="0" w:color="auto"/>
        <w:right w:val="none" w:sz="0" w:space="0" w:color="auto"/>
      </w:divBdr>
    </w:div>
    <w:div w:id="1621912740">
      <w:bodyDiv w:val="1"/>
      <w:marLeft w:val="0"/>
      <w:marRight w:val="0"/>
      <w:marTop w:val="0"/>
      <w:marBottom w:val="0"/>
      <w:divBdr>
        <w:top w:val="none" w:sz="0" w:space="0" w:color="auto"/>
        <w:left w:val="none" w:sz="0" w:space="0" w:color="auto"/>
        <w:bottom w:val="none" w:sz="0" w:space="0" w:color="auto"/>
        <w:right w:val="none" w:sz="0" w:space="0" w:color="auto"/>
      </w:divBdr>
    </w:div>
    <w:div w:id="1687366660">
      <w:bodyDiv w:val="1"/>
      <w:marLeft w:val="0"/>
      <w:marRight w:val="0"/>
      <w:marTop w:val="0"/>
      <w:marBottom w:val="0"/>
      <w:divBdr>
        <w:top w:val="none" w:sz="0" w:space="0" w:color="auto"/>
        <w:left w:val="none" w:sz="0" w:space="0" w:color="auto"/>
        <w:bottom w:val="none" w:sz="0" w:space="0" w:color="auto"/>
        <w:right w:val="none" w:sz="0" w:space="0" w:color="auto"/>
      </w:divBdr>
    </w:div>
    <w:div w:id="1746106997">
      <w:bodyDiv w:val="1"/>
      <w:marLeft w:val="0"/>
      <w:marRight w:val="0"/>
      <w:marTop w:val="0"/>
      <w:marBottom w:val="0"/>
      <w:divBdr>
        <w:top w:val="none" w:sz="0" w:space="0" w:color="auto"/>
        <w:left w:val="none" w:sz="0" w:space="0" w:color="auto"/>
        <w:bottom w:val="none" w:sz="0" w:space="0" w:color="auto"/>
        <w:right w:val="none" w:sz="0" w:space="0" w:color="auto"/>
      </w:divBdr>
    </w:div>
    <w:div w:id="1757242431">
      <w:bodyDiv w:val="1"/>
      <w:marLeft w:val="0"/>
      <w:marRight w:val="0"/>
      <w:marTop w:val="0"/>
      <w:marBottom w:val="0"/>
      <w:divBdr>
        <w:top w:val="none" w:sz="0" w:space="0" w:color="auto"/>
        <w:left w:val="none" w:sz="0" w:space="0" w:color="auto"/>
        <w:bottom w:val="none" w:sz="0" w:space="0" w:color="auto"/>
        <w:right w:val="none" w:sz="0" w:space="0" w:color="auto"/>
      </w:divBdr>
    </w:div>
    <w:div w:id="1771705808">
      <w:bodyDiv w:val="1"/>
      <w:marLeft w:val="0"/>
      <w:marRight w:val="0"/>
      <w:marTop w:val="0"/>
      <w:marBottom w:val="0"/>
      <w:divBdr>
        <w:top w:val="none" w:sz="0" w:space="0" w:color="auto"/>
        <w:left w:val="none" w:sz="0" w:space="0" w:color="auto"/>
        <w:bottom w:val="none" w:sz="0" w:space="0" w:color="auto"/>
        <w:right w:val="none" w:sz="0" w:space="0" w:color="auto"/>
      </w:divBdr>
    </w:div>
    <w:div w:id="1773893125">
      <w:bodyDiv w:val="1"/>
      <w:marLeft w:val="0"/>
      <w:marRight w:val="0"/>
      <w:marTop w:val="0"/>
      <w:marBottom w:val="0"/>
      <w:divBdr>
        <w:top w:val="none" w:sz="0" w:space="0" w:color="auto"/>
        <w:left w:val="none" w:sz="0" w:space="0" w:color="auto"/>
        <w:bottom w:val="none" w:sz="0" w:space="0" w:color="auto"/>
        <w:right w:val="none" w:sz="0" w:space="0" w:color="auto"/>
      </w:divBdr>
    </w:div>
    <w:div w:id="1806854873">
      <w:bodyDiv w:val="1"/>
      <w:marLeft w:val="0"/>
      <w:marRight w:val="0"/>
      <w:marTop w:val="0"/>
      <w:marBottom w:val="0"/>
      <w:divBdr>
        <w:top w:val="none" w:sz="0" w:space="0" w:color="auto"/>
        <w:left w:val="none" w:sz="0" w:space="0" w:color="auto"/>
        <w:bottom w:val="none" w:sz="0" w:space="0" w:color="auto"/>
        <w:right w:val="none" w:sz="0" w:space="0" w:color="auto"/>
      </w:divBdr>
    </w:div>
    <w:div w:id="1817868307">
      <w:bodyDiv w:val="1"/>
      <w:marLeft w:val="0"/>
      <w:marRight w:val="0"/>
      <w:marTop w:val="0"/>
      <w:marBottom w:val="0"/>
      <w:divBdr>
        <w:top w:val="none" w:sz="0" w:space="0" w:color="auto"/>
        <w:left w:val="none" w:sz="0" w:space="0" w:color="auto"/>
        <w:bottom w:val="none" w:sz="0" w:space="0" w:color="auto"/>
        <w:right w:val="none" w:sz="0" w:space="0" w:color="auto"/>
      </w:divBdr>
    </w:div>
    <w:div w:id="1829057198">
      <w:bodyDiv w:val="1"/>
      <w:marLeft w:val="0"/>
      <w:marRight w:val="0"/>
      <w:marTop w:val="0"/>
      <w:marBottom w:val="0"/>
      <w:divBdr>
        <w:top w:val="none" w:sz="0" w:space="0" w:color="auto"/>
        <w:left w:val="none" w:sz="0" w:space="0" w:color="auto"/>
        <w:bottom w:val="none" w:sz="0" w:space="0" w:color="auto"/>
        <w:right w:val="none" w:sz="0" w:space="0" w:color="auto"/>
      </w:divBdr>
    </w:div>
    <w:div w:id="1839807319">
      <w:bodyDiv w:val="1"/>
      <w:marLeft w:val="0"/>
      <w:marRight w:val="0"/>
      <w:marTop w:val="0"/>
      <w:marBottom w:val="0"/>
      <w:divBdr>
        <w:top w:val="none" w:sz="0" w:space="0" w:color="auto"/>
        <w:left w:val="none" w:sz="0" w:space="0" w:color="auto"/>
        <w:bottom w:val="none" w:sz="0" w:space="0" w:color="auto"/>
        <w:right w:val="none" w:sz="0" w:space="0" w:color="auto"/>
      </w:divBdr>
    </w:div>
    <w:div w:id="2002661073">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51685290">
      <w:bodyDiv w:val="1"/>
      <w:marLeft w:val="0"/>
      <w:marRight w:val="0"/>
      <w:marTop w:val="0"/>
      <w:marBottom w:val="0"/>
      <w:divBdr>
        <w:top w:val="none" w:sz="0" w:space="0" w:color="auto"/>
        <w:left w:val="none" w:sz="0" w:space="0" w:color="auto"/>
        <w:bottom w:val="none" w:sz="0" w:space="0" w:color="auto"/>
        <w:right w:val="none" w:sz="0" w:space="0" w:color="auto"/>
      </w:divBdr>
    </w:div>
    <w:div w:id="2115242451">
      <w:bodyDiv w:val="1"/>
      <w:marLeft w:val="0"/>
      <w:marRight w:val="0"/>
      <w:marTop w:val="0"/>
      <w:marBottom w:val="0"/>
      <w:divBdr>
        <w:top w:val="none" w:sz="0" w:space="0" w:color="auto"/>
        <w:left w:val="none" w:sz="0" w:space="0" w:color="auto"/>
        <w:bottom w:val="none" w:sz="0" w:space="0" w:color="auto"/>
        <w:right w:val="none" w:sz="0" w:space="0" w:color="auto"/>
      </w:divBdr>
    </w:div>
    <w:div w:id="212090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1155%2F2020%2F1628357" TargetMode="External"/><Relationship Id="rId3" Type="http://schemas.openxmlformats.org/officeDocument/2006/relationships/customXml" Target="../customXml/item3.xml"/><Relationship Id="rId21" Type="http://schemas.openxmlformats.org/officeDocument/2006/relationships/hyperlink" Target="http://www.figo.org/resources/figo-statements/uterine-atony-and-uterotonics-postpartum-haemorrhag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1002/ijgo.1407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rob@fig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ob@fig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igo.org/resources/figo-statements/uterine-atony-and-uterotonics-postpartum-haemorrha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GO-2022">
  <a:themeElements>
    <a:clrScheme name="FIGO-2022">
      <a:dk1>
        <a:srgbClr val="000000"/>
      </a:dk1>
      <a:lt1>
        <a:srgbClr val="FFFFFF"/>
      </a:lt1>
      <a:dk2>
        <a:srgbClr val="181617"/>
      </a:dk2>
      <a:lt2>
        <a:srgbClr val="F5F2DF"/>
      </a:lt2>
      <a:accent1>
        <a:srgbClr val="00AD86"/>
      </a:accent1>
      <a:accent2>
        <a:srgbClr val="206670"/>
      </a:accent2>
      <a:accent3>
        <a:srgbClr val="8E3061"/>
      </a:accent3>
      <a:accent4>
        <a:srgbClr val="989783"/>
      </a:accent4>
      <a:accent5>
        <a:srgbClr val="93CAAC"/>
      </a:accent5>
      <a:accent6>
        <a:srgbClr val="96B5BA"/>
      </a:accent6>
      <a:hlink>
        <a:srgbClr val="00B083"/>
      </a:hlink>
      <a:folHlink>
        <a:srgbClr val="00B08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GO-2022" id="{D111E1BC-4455-3945-9FB4-9452FC392E35}" vid="{B12BD622-BE47-4D4C-91BC-30FE4FA49C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3F63F7E9A06841AE3541350D990E02" ma:contentTypeVersion="17" ma:contentTypeDescription="Create a new document." ma:contentTypeScope="" ma:versionID="91896598600b0398c3379c405495750b">
  <xsd:schema xmlns:xsd="http://www.w3.org/2001/XMLSchema" xmlns:xs="http://www.w3.org/2001/XMLSchema" xmlns:p="http://schemas.microsoft.com/office/2006/metadata/properties" xmlns:ns2="3d81d013-4516-475e-a676-f9f542f1970d" xmlns:ns3="6ffae9e5-eff4-4079-a16d-f80b667e650f" targetNamespace="http://schemas.microsoft.com/office/2006/metadata/properties" ma:root="true" ma:fieldsID="dbd248af8c8a2eaef2fb4677a00b9d1e" ns2:_="" ns3:_="">
    <xsd:import namespace="3d81d013-4516-475e-a676-f9f542f1970d"/>
    <xsd:import namespace="6ffae9e5-eff4-4079-a16d-f80b667e6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1d013-4516-475e-a676-f9f542f19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bd8797-e538-46b1-a9fb-d2c1d9f099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ae9e5-eff4-4079-a16d-f80b667e65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fe06ef-9b7d-4f83-9720-422456e2a106}" ma:internalName="TaxCatchAll" ma:showField="CatchAllData" ma:web="6ffae9e5-eff4-4079-a16d-f80b667e6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fae9e5-eff4-4079-a16d-f80b667e650f">
      <UserInfo>
        <DisplayName>Hani Fawzi</DisplayName>
        <AccountId>69</AccountId>
        <AccountType/>
      </UserInfo>
      <UserInfo>
        <DisplayName>Jessica Morris</DisplayName>
        <AccountId>78</AccountId>
        <AccountType/>
      </UserInfo>
      <UserInfo>
        <DisplayName>Jessica Sutton</DisplayName>
        <AccountId>13</AccountId>
        <AccountType/>
      </UserInfo>
      <UserInfo>
        <DisplayName>Lesley Regan</DisplayName>
        <AccountId>40</AccountId>
        <AccountType/>
      </UserInfo>
      <UserInfo>
        <DisplayName>Jameen Kaur</DisplayName>
        <AccountId>80</AccountId>
        <AccountType/>
      </UserInfo>
    </SharedWithUsers>
    <lcf76f155ced4ddcb4097134ff3c332f xmlns="3d81d013-4516-475e-a676-f9f542f1970d">
      <Terms xmlns="http://schemas.microsoft.com/office/infopath/2007/PartnerControls"/>
    </lcf76f155ced4ddcb4097134ff3c332f>
    <TaxCatchAll xmlns="6ffae9e5-eff4-4079-a16d-f80b667e65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2EFF3-A87B-48E1-B504-603229134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1d013-4516-475e-a676-f9f542f1970d"/>
    <ds:schemaRef ds:uri="6ffae9e5-eff4-4079-a16d-f80b667e6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3C66E-12E9-4C14-B49B-CA674C6B2620}">
  <ds:schemaRefs>
    <ds:schemaRef ds:uri="http://schemas.microsoft.com/sharepoint/v3/contenttype/forms"/>
  </ds:schemaRefs>
</ds:datastoreItem>
</file>

<file path=customXml/itemProps3.xml><?xml version="1.0" encoding="utf-8"?>
<ds:datastoreItem xmlns:ds="http://schemas.openxmlformats.org/officeDocument/2006/customXml" ds:itemID="{995E03B6-6E70-4827-A3A7-3B06EEEE34B0}">
  <ds:schemaRefs>
    <ds:schemaRef ds:uri="6ffae9e5-eff4-4079-a16d-f80b667e650f"/>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3d81d013-4516-475e-a676-f9f542f1970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2718F4D-0707-4CD0-AD75-0F016EE6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Pronunciamiento de la FIGO: [add title to document properties]</vt:lpstr>
    </vt:vector>
  </TitlesOfParts>
  <Manager/>
  <Company/>
  <LinksUpToDate>false</LinksUpToDate>
  <CharactersWithSpaces>13979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Pronunciamiento de la FIGO: La atonía uterina y los uterotónicos en la hemorragia posparto</dc:title>
  <dc:subject/>
  <dc:creator>Rob Hucker</dc:creator>
  <cp:keywords/>
  <dc:description/>
  <cp:lastModifiedBy>N Callow</cp:lastModifiedBy>
  <cp:revision>17</cp:revision>
  <cp:lastPrinted>2019-11-14T16:04:00Z</cp:lastPrinted>
  <dcterms:created xsi:type="dcterms:W3CDTF">2023-03-30T10:02:00Z</dcterms:created>
  <dcterms:modified xsi:type="dcterms:W3CDTF">2023-10-12T08:35:00Z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0x010100133F63F7E9A06841AE3541350D990E02</vt:lpwstr>
  </property>
  <property fmtid="{D5CDD505-2E9C-101B-9397-08002B2CF9AE}" pid="3" name="Copyright">
    <vt:lpwstr>International Federation of Gynecology and Obstetrics</vt:lpwstr>
  </property>
  <property fmtid="{D5CDD505-2E9C-101B-9397-08002B2CF9AE}" pid="4" name="MediaServiceImageTags">
    <vt:lpwstr/>
  </property>
</Properties>
</file>