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3404" w14:textId="77777777" w:rsidR="00E568F5" w:rsidRPr="00296EE3" w:rsidRDefault="00E568F5" w:rsidP="00E568F5">
      <w:pPr>
        <w:pStyle w:val="Title"/>
        <w:rPr>
          <w:szCs w:val="40"/>
        </w:rPr>
      </w:pPr>
      <w:r>
        <w:t>Atonie utérine et utérotoniques dans les hémorragies du post-partum</w:t>
      </w:r>
    </w:p>
    <w:p w14:paraId="06F56622" w14:textId="77777777" w:rsidR="00E568F5" w:rsidRPr="00E568F5" w:rsidRDefault="00E568F5" w:rsidP="00E568F5">
      <w:pPr>
        <w:rPr>
          <w:rFonts w:asciiTheme="majorHAnsi" w:hAnsiTheme="majorHAnsi" w:cstheme="majorHAnsi"/>
          <w:color w:val="000000"/>
          <w:shd w:val="clear" w:color="auto" w:fill="FFFFFF"/>
        </w:rPr>
      </w:pPr>
      <w:r>
        <w:t xml:space="preserve">La Fédération internationale de gynécologie et d’obstétrique (FIGO) constate que l’hémorragie du post-partum (HPP) reste la principale cause de morbidité et de mortalité maternelles dans le monde. En 2022, le Comité de la FIGO sur l’accouchement et l’HPP </w:t>
      </w:r>
      <w:r>
        <w:rPr>
          <w:rFonts w:asciiTheme="majorHAnsi" w:hAnsiTheme="majorHAnsi"/>
          <w:color w:val="000000"/>
          <w:shd w:val="clear" w:color="auto" w:fill="FFFFFF"/>
        </w:rPr>
        <w:t xml:space="preserve">a publié un numéro spécial du </w:t>
      </w:r>
      <w:r>
        <w:rPr>
          <w:rFonts w:asciiTheme="majorHAnsi" w:hAnsiTheme="majorHAnsi"/>
          <w:i/>
          <w:color w:val="000000"/>
          <w:shd w:val="clear" w:color="auto" w:fill="FFFFFF"/>
        </w:rPr>
        <w:t>Journal international de gynécologie et d’obstétrique</w:t>
      </w:r>
      <w:r>
        <w:rPr>
          <w:rFonts w:asciiTheme="majorHAnsi" w:hAnsiTheme="majorHAnsi"/>
          <w:color w:val="000000"/>
          <w:shd w:val="clear" w:color="auto" w:fill="FFFFFF"/>
        </w:rPr>
        <w:t xml:space="preserve"> (IJGO) consacré à la prise en charge de l’HPP.</w:t>
      </w:r>
      <w:r>
        <w:rPr>
          <w:rFonts w:asciiTheme="majorHAnsi" w:hAnsiTheme="majorHAnsi"/>
          <w:color w:val="00AD86" w:themeColor="accent1"/>
          <w:shd w:val="clear" w:color="auto" w:fill="FFFFFF"/>
          <w:vertAlign w:val="superscript"/>
        </w:rPr>
        <w:t>1</w:t>
      </w:r>
      <w:r>
        <w:rPr>
          <w:rFonts w:asciiTheme="majorHAnsi" w:hAnsiTheme="majorHAnsi"/>
          <w:color w:val="000000"/>
          <w:shd w:val="clear" w:color="auto" w:fill="FFFFFF"/>
        </w:rPr>
        <w:t xml:space="preserve"> La publication a révélé qu’en dépit des efforts de collaboration, la mise en œuvre de recommandations en matière de prise en charge reste insuffisante et que les directives unifiées </w:t>
      </w:r>
      <w:r>
        <w:t>font défaut</w:t>
      </w:r>
      <w:r>
        <w:rPr>
          <w:rFonts w:asciiTheme="majorHAnsi" w:hAnsiTheme="majorHAnsi"/>
          <w:color w:val="000000"/>
          <w:shd w:val="clear" w:color="auto" w:fill="FFFFFF"/>
        </w:rPr>
        <w:t xml:space="preserve"> pour lutter contre cette affection potentiellement mortelle. La publication résume les meilleures données disponibles en matière de prévention et de traitement de l’HPP. Les utérotoniques représentent un élément clé de l’arsenal disponible pour sauver la vie des femmes en prévenant ou en traitant l’HPP.</w:t>
      </w:r>
    </w:p>
    <w:p w14:paraId="0F5BD051" w14:textId="77777777" w:rsidR="00E568F5" w:rsidRPr="00296EE3" w:rsidRDefault="00E568F5" w:rsidP="00E568F5">
      <w:pPr>
        <w:pStyle w:val="Heading1"/>
      </w:pPr>
      <w:r>
        <w:t>Hémorragie du post-partum : les facteurs contributifs</w:t>
      </w:r>
    </w:p>
    <w:p w14:paraId="50535C1C" w14:textId="77777777" w:rsidR="00E568F5" w:rsidRPr="00E568F5" w:rsidRDefault="00E568F5" w:rsidP="00E568F5">
      <w:pPr>
        <w:rPr>
          <w:shd w:val="clear" w:color="auto" w:fill="FFFFFF"/>
        </w:rPr>
      </w:pPr>
      <w:r>
        <w:rPr>
          <w:shd w:val="clear" w:color="auto" w:fill="FFFFFF"/>
        </w:rPr>
        <w:t>L’HPP est responsable du décès de 70 000 femmes par an, la plupart de ces décès survenant en Afrique et en Asie du Sud.</w:t>
      </w:r>
      <w:r>
        <w:rPr>
          <w:color w:val="00AD86" w:themeColor="accent1"/>
          <w:shd w:val="clear" w:color="auto" w:fill="FFFFFF"/>
          <w:vertAlign w:val="superscript"/>
        </w:rPr>
        <w:t>2</w:t>
      </w:r>
      <w:r>
        <w:rPr>
          <w:shd w:val="clear" w:color="auto" w:fill="FFFFFF"/>
        </w:rPr>
        <w:t xml:space="preserve"> Il s’agit de l’une des causes les plus fréquentes de décès maternel, indépendamment du revenu ou du contexte médical. L’anémie maternelle, qui peut découler d’irrégularités menstruelles, du régime alimentaire et de maladies chroniques sous-jacentes, est fréquente et constitue un facteur de risque reconnu pour l’HPP.</w:t>
      </w:r>
      <w:r>
        <w:rPr>
          <w:color w:val="00AD86" w:themeColor="accent1"/>
          <w:shd w:val="clear" w:color="auto" w:fill="FFFFFF"/>
          <w:vertAlign w:val="superscript"/>
        </w:rPr>
        <w:t>3</w:t>
      </w:r>
      <w:r>
        <w:rPr>
          <w:shd w:val="clear" w:color="auto" w:fill="FFFFFF"/>
        </w:rPr>
        <w:t xml:space="preserve"> La FIGO reconnaît que les limitations passées et présentes concernant l’accès à du personnel qualifié et à des ressources essentielles telles que des systèmes d’eau propre, un régime alimentaire nutritif, des possibilités d’éducation et des soins de santé, en particulier en ce qui concerne les troubles menstruels, contribuent à des taux d’anémie plus élevés dans certaines communautés.</w:t>
      </w:r>
      <w:r>
        <w:rPr>
          <w:color w:val="00AD86" w:themeColor="accent1"/>
          <w:shd w:val="clear" w:color="auto" w:fill="FFFFFF"/>
          <w:vertAlign w:val="superscript"/>
        </w:rPr>
        <w:t>4</w:t>
      </w:r>
      <w:r>
        <w:rPr>
          <w:shd w:val="clear" w:color="auto" w:fill="FFFFFF"/>
        </w:rPr>
        <w:t xml:space="preserve"> Au niveau mondial, 29,9 % des femmes en âge de procréer sont anémiques, mais les taux sont nettement plus élevés en Afrique centrale et occidentale ainsi qu’en Asie du Sud. Aux États-Unis, l’anémie est plus fréquente chez les femmes noires que dans d’autres groupes raciaux ou ethniques. Ces disparités raciales peuvent résulter, entre autres, d’un risque plus élevé de carence en nutriments, d’une exposition plus importante aux infections, notamment au VIH et au paludisme, et d’un accès plus limité aux soins de santé.</w:t>
      </w:r>
      <w:r>
        <w:rPr>
          <w:color w:val="00AD86" w:themeColor="accent1"/>
          <w:shd w:val="clear" w:color="auto" w:fill="FFFFFF"/>
          <w:vertAlign w:val="superscript"/>
        </w:rPr>
        <w:t>3</w:t>
      </w:r>
    </w:p>
    <w:p w14:paraId="29019037" w14:textId="77777777" w:rsidR="00E568F5" w:rsidRPr="00E568F5" w:rsidRDefault="00E568F5" w:rsidP="00E568F5">
      <w:pPr>
        <w:rPr>
          <w:shd w:val="clear" w:color="auto" w:fill="FFFFFF"/>
        </w:rPr>
      </w:pPr>
      <w:r>
        <w:rPr>
          <w:shd w:val="clear" w:color="auto" w:fill="FFFFFF"/>
        </w:rPr>
        <w:t>Parmi les autres facteurs importants contribuant à l’HPP figurent les infections et les parasites, ainsi que les affections entraînant une distension utérine, telles que l’hydramnios, la gestation multiple ou une placentation anormale. De même, les conditions qui contribuent à l’atonie utérine, telles que les infections, les défauts de coagulation et l’utilisation de sulfate de magnésium, peuvent augmenter le risque d’HPP.</w:t>
      </w:r>
    </w:p>
    <w:p w14:paraId="3C0652FD" w14:textId="77777777" w:rsidR="00E568F5" w:rsidRPr="00E568F5" w:rsidRDefault="00E568F5" w:rsidP="00E568F5">
      <w:pPr>
        <w:rPr>
          <w:shd w:val="clear" w:color="auto" w:fill="FFFFFF"/>
        </w:rPr>
      </w:pPr>
      <w:r>
        <w:rPr>
          <w:shd w:val="clear" w:color="auto" w:fill="FFFFFF"/>
        </w:rPr>
        <w:t>La FIGO rappelle aux cliniciens la nécessité d’identifier les causes les plus courantes d’HPP lorsqu’ils anticipent ou évaluent le profil clinique. Pour mémoire, il s’agit du tonus, des déchirures, du tissu et de la thrombine.</w:t>
      </w:r>
      <w:r>
        <w:rPr>
          <w:color w:val="00AD86" w:themeColor="accent1"/>
          <w:shd w:val="clear" w:color="auto" w:fill="FFFFFF"/>
          <w:vertAlign w:val="superscript"/>
        </w:rPr>
        <w:t>1</w:t>
      </w:r>
      <w:r>
        <w:rPr>
          <w:shd w:val="clear" w:color="auto" w:fill="FFFFFF"/>
        </w:rPr>
        <w:t xml:space="preserve"> Les cliniciens doivent comprendre que tout traitement qui évite les conditions de survenue de l’HPP est idéal, et que l’identification ou le traitement des facteurs de risque est donc une condition préalable. Il est important de noter que l’HPP survient aussi bien dans les milieux à revenus élevés que dans les milieux à revenus faibles ; la probabilité qu’une femme meure des suites d’une HPP est cependant plus élevée dans les milieux où les ressources </w:t>
      </w:r>
      <w:r>
        <w:rPr>
          <w:shd w:val="clear" w:color="auto" w:fill="FFFFFF"/>
        </w:rPr>
        <w:lastRenderedPageBreak/>
        <w:t>sont insuffisantes.</w:t>
      </w:r>
      <w:r>
        <w:rPr>
          <w:color w:val="00AD86" w:themeColor="accent1"/>
          <w:shd w:val="clear" w:color="auto" w:fill="FFFFFF"/>
          <w:vertAlign w:val="superscript"/>
        </w:rPr>
        <w:t>5</w:t>
      </w:r>
      <w:r>
        <w:rPr>
          <w:shd w:val="clear" w:color="auto" w:fill="FFFFFF"/>
        </w:rPr>
        <w:t xml:space="preserve"> La prévention ainsi qu’une prise en charge rapide et systématique de l’HPP sont donc indispensables à une amélioration de la situation. </w:t>
      </w:r>
    </w:p>
    <w:p w14:paraId="58A03A55" w14:textId="77777777" w:rsidR="00E568F5" w:rsidRPr="00E568F5" w:rsidRDefault="00E568F5" w:rsidP="00E568F5">
      <w:pPr>
        <w:pStyle w:val="Heading1"/>
      </w:pPr>
      <w:r>
        <w:t>Atonie utérine</w:t>
      </w:r>
    </w:p>
    <w:p w14:paraId="15EAAE91" w14:textId="77777777" w:rsidR="00E568F5" w:rsidRPr="00E568F5" w:rsidRDefault="00E568F5" w:rsidP="00E568F5">
      <w:pPr>
        <w:rPr>
          <w:shd w:val="clear" w:color="auto" w:fill="FFFFFF"/>
        </w:rPr>
      </w:pPr>
      <w:r>
        <w:rPr>
          <w:color w:val="000000" w:themeColor="text1"/>
          <w:shd w:val="clear" w:color="auto" w:fill="FFFFFF"/>
        </w:rPr>
        <w:t>Bien que la définition, le diagnostic et la prévalence de l’atonie utérine puissent varier d’un contexte à l’autre, on estime que l’atonie utérine, ou l’insuffisance</w:t>
      </w:r>
      <w:r>
        <w:rPr>
          <w:rFonts w:ascii="Roboto" w:hAnsi="Roboto"/>
          <w:color w:val="000000" w:themeColor="text1"/>
          <w:shd w:val="clear" w:color="auto" w:fill="FFFFFF"/>
        </w:rPr>
        <w:t xml:space="preserve"> du tonus utérin, est à l’origine de 70 à 80 % des hémorragies du post-partum et que, dans la plupart des cas, elle doit être suspectée en premier lieu dans l’étiologie de l’hémorragie du post-partum</w:t>
      </w:r>
      <w:r>
        <w:rPr>
          <w:color w:val="000000" w:themeColor="text1"/>
          <w:shd w:val="clear" w:color="auto" w:fill="FFFFFF"/>
        </w:rPr>
        <w:t>.</w:t>
      </w:r>
      <w:r>
        <w:rPr>
          <w:color w:val="00AD86" w:themeColor="accent1"/>
          <w:shd w:val="clear" w:color="auto" w:fill="FFFFFF"/>
          <w:vertAlign w:val="superscript"/>
        </w:rPr>
        <w:t>6</w:t>
      </w:r>
      <w:r>
        <w:rPr>
          <w:color w:val="000000" w:themeColor="text1"/>
          <w:shd w:val="clear" w:color="auto" w:fill="FFFFFF"/>
        </w:rPr>
        <w:t xml:space="preserve"> </w:t>
      </w:r>
      <w:r>
        <w:rPr>
          <w:shd w:val="clear" w:color="auto" w:fill="FFFFFF"/>
        </w:rPr>
        <w:t>Récemment, certains auteurs ont remis en question l’atonie utérine en tant que facteur responsable de l’HPP et ont suggéré que l’atonie utérine pourrait être une « opinion » des cliniciens traitants, en l’absence de preuves scientifiques démontrant que les utérotoniques ont un effet quelconque sur la mortalité maternelle.</w:t>
      </w:r>
      <w:r>
        <w:rPr>
          <w:color w:val="00AD86" w:themeColor="accent1"/>
          <w:shd w:val="clear" w:color="auto" w:fill="FFFFFF"/>
          <w:vertAlign w:val="superscript"/>
        </w:rPr>
        <w:t>7</w:t>
      </w:r>
      <w:r>
        <w:rPr>
          <w:shd w:val="clear" w:color="auto" w:fill="FFFFFF"/>
        </w:rPr>
        <w:t xml:space="preserve"> </w:t>
      </w:r>
    </w:p>
    <w:p w14:paraId="6737ADE4" w14:textId="77777777" w:rsidR="00E568F5" w:rsidRPr="00E568F5" w:rsidRDefault="00E568F5" w:rsidP="00E568F5">
      <w:r>
        <w:rPr>
          <w:shd w:val="clear" w:color="auto" w:fill="FFFFFF"/>
        </w:rPr>
        <w:t>Nous les invitons à consulter une méta</w:t>
      </w:r>
      <w:r>
        <w:rPr>
          <w:rFonts w:ascii="Cambria Math" w:hAnsi="Cambria Math"/>
          <w:shd w:val="clear" w:color="auto" w:fill="FFFFFF"/>
        </w:rPr>
        <w:t>‐</w:t>
      </w:r>
      <w:r>
        <w:rPr>
          <w:shd w:val="clear" w:color="auto" w:fill="FFFFFF"/>
        </w:rPr>
        <w:t>analyse portant sur près de 200 études et 136 000 femmes qui a démontré que les utérotoniques réduisent les taux d’HPP lors des accouchements par voie vaginale et par césarienne.</w:t>
      </w:r>
      <w:r>
        <w:rPr>
          <w:color w:val="00AD86" w:themeColor="accent1"/>
          <w:shd w:val="clear" w:color="auto" w:fill="FFFFFF"/>
          <w:vertAlign w:val="superscript"/>
        </w:rPr>
        <w:t>8</w:t>
      </w:r>
      <w:r>
        <w:rPr>
          <w:shd w:val="clear" w:color="auto" w:fill="FFFFFF"/>
        </w:rPr>
        <w:t xml:space="preserve"> </w:t>
      </w:r>
      <w:r>
        <w:t>En outre, l’étude récente menée par E-MOTIVE auprès de 80 hôpitaux et de plus de 200 000 femmes en Afrique a révélé que la détection précoce de l’HPP associée à un traitement consistant en une approche d’ensemble permettait de réduire l’HPP et le nombre de décès. Ces résultats reposaient sur la mesure de la perte de sang et sur des traitements rapides de première intervention avec massage utérin, médicaments ocytociques, acide tranexamique, liquides intraveineux, examen et prise de mesures rapides.</w:t>
      </w:r>
      <w:r>
        <w:rPr>
          <w:color w:val="00AD86" w:themeColor="accent1"/>
          <w:vertAlign w:val="superscript"/>
        </w:rPr>
        <w:t>9</w:t>
      </w:r>
      <w:r>
        <w:t xml:space="preserve"> </w:t>
      </w:r>
      <w:r>
        <w:rPr>
          <w:shd w:val="clear" w:color="auto" w:fill="FFFFFF"/>
        </w:rPr>
        <w:t xml:space="preserve">D’après la FIGO, </w:t>
      </w:r>
      <w:r>
        <w:rPr>
          <w:color w:val="222222"/>
          <w:shd w:val="clear" w:color="auto" w:fill="FFFFFF"/>
        </w:rPr>
        <w:t>il ne fait aucun doute que les utérotoniques sont essentiels et qu’ils doivent faire partie intégrante d’une approche d’ensemble systématique.</w:t>
      </w:r>
    </w:p>
    <w:p w14:paraId="5E16ED07" w14:textId="77777777" w:rsidR="00E568F5" w:rsidRPr="00E568F5" w:rsidRDefault="00E568F5" w:rsidP="00E568F5">
      <w:pPr>
        <w:pStyle w:val="Heading1"/>
      </w:pPr>
      <w:r>
        <w:t>La nécessité des utérotoniques</w:t>
      </w:r>
    </w:p>
    <w:p w14:paraId="30900048" w14:textId="77777777" w:rsidR="00E568F5" w:rsidRPr="00E568F5" w:rsidRDefault="00E568F5" w:rsidP="00E568F5">
      <w:r>
        <w:t xml:space="preserve">La FIGO propose une « approche d’ensemble » pour la prise en charge de l’HPP, les utérotoniques constituant un élément fondamental. Les facteurs de risque de l’HPP sont anticipés grâce à une telle approche de soins d’ensemble, qui recommande la réactivité, la détection, l’intervention et le signalement. La première étape est la réactivité, et l’utilisation d’utérotoniques pour le troisième stade du travail pour tous les accouchements est un élément important. Si une femme présente une HPP, il est recommandé de mettre en œuvre une approche d’ensemble de « première intervention », avec des utérotoniques, des cristalloïdes, un massage utérin et de l’acide tranexamique, suivie d’une approche d’ensemble de « réponse à l’HPP réfractaire » qui maintient les utérotoniques et l’acide tranexamique, mais qui peut être accompagnée d’approches de compression et de tamponnement utérin. </w:t>
      </w:r>
      <w:r>
        <w:rPr>
          <w:rFonts w:asciiTheme="minorHAnsi" w:hAnsiTheme="minorHAnsi"/>
          <w:color w:val="212121"/>
          <w:shd w:val="clear" w:color="auto" w:fill="FFFFFF"/>
        </w:rPr>
        <w:t>Une HPP réfractaire est définie comme une hémorragie nécessitant des interventions de deuxième intention, y compris trois utérotoniques ou plus, une compression utérine bimanuelle, un tamponnement intra-utérin par ballonnet/des dispositifs de contrôle de l’hémorragie par aspiration, ou un traitement chirurgical tel que la réparation d’une lacération cervicale ou vaginale haute, l’exploration de la cavité utérine, des procédures de dévascularisation chirurgicale, des sutures de compression utérine ou une hystérectomie.</w:t>
      </w:r>
      <w:r>
        <w:rPr>
          <w:rFonts w:asciiTheme="minorHAnsi" w:hAnsiTheme="minorHAnsi"/>
          <w:color w:val="00AD86" w:themeColor="accent1"/>
          <w:shd w:val="clear" w:color="auto" w:fill="FFFFFF"/>
          <w:vertAlign w:val="superscript"/>
        </w:rPr>
        <w:t>10</w:t>
      </w:r>
    </w:p>
    <w:p w14:paraId="1F67A2B9" w14:textId="77777777" w:rsidR="00E568F5" w:rsidRPr="00E568F5" w:rsidRDefault="00E568F5" w:rsidP="00E568F5">
      <w:pPr>
        <w:rPr>
          <w:rFonts w:asciiTheme="minorHAnsi" w:hAnsiTheme="minorHAnsi" w:cstheme="minorHAnsi"/>
        </w:rPr>
      </w:pPr>
      <w:r>
        <w:lastRenderedPageBreak/>
        <w:t>La FIGO et la Fédération internationale des sages-femmes (ICM) ont récemment publié une déclaration commune sur l’utilisation des utérotoniques pendant la prise en charge active du troisième stade du travail pour prévenir l’HPP et ont décrit les avantages et les inconvénients de chacun des médicaments disponibles.</w:t>
      </w:r>
      <w:r>
        <w:rPr>
          <w:color w:val="00AD86" w:themeColor="accent1"/>
          <w:vertAlign w:val="superscript"/>
        </w:rPr>
        <w:t>11</w:t>
      </w:r>
      <w:r>
        <w:t xml:space="preserve"> La déclaration inclut également la formation du personnel accompagnant les accouchements. </w:t>
      </w:r>
    </w:p>
    <w:p w14:paraId="65DA6181" w14:textId="77777777" w:rsidR="00E568F5" w:rsidRPr="00296EE3" w:rsidRDefault="00E568F5" w:rsidP="00E568F5">
      <w:pPr>
        <w:pStyle w:val="Heading1"/>
        <w:rPr>
          <w:color w:val="606060"/>
          <w:sz w:val="27"/>
          <w:szCs w:val="27"/>
        </w:rPr>
      </w:pPr>
      <w:r>
        <w:t xml:space="preserve">Position de la FIGO face à ce </w:t>
      </w:r>
      <w:r>
        <w:rPr>
          <w:sz w:val="28"/>
        </w:rPr>
        <w:t>problème</w:t>
      </w:r>
    </w:p>
    <w:p w14:paraId="05DB8AF4" w14:textId="77777777" w:rsidR="00E568F5" w:rsidRPr="00E568F5" w:rsidRDefault="00E568F5" w:rsidP="00E568F5">
      <w:r>
        <w:t>L’HPP résulte très souvent d’une atonie utérine, selon les données actuellement disponibles, et l’utilisation d’utérotoniques devrait faire partie intégrante de l’ensemble des soins. Une détection et un traitement précoces sont primordiaux.</w:t>
      </w:r>
    </w:p>
    <w:p w14:paraId="526E5422" w14:textId="77777777" w:rsidR="00E568F5" w:rsidRPr="00E568F5" w:rsidRDefault="00E568F5" w:rsidP="00E568F5">
      <w:r>
        <w:t>En raison de la complexité de l’HPP, l’utilisation d’utérotoniques peut s’avérer insuffisante. Les facteurs prédisposant à l’HPP contribuent également à l’augmentation de la mortalité maternelle. Il s’agit notamment de l’anémie, d’une nutrition inappropriée, d’un accès insuffisant aux soins de santé primaires et de populations marginalisées par des circonstances sociales, raciales et économiques. Il est essentiel de fournir des soins de santé préventifs et équitables tout au long de la vie des femmes, de l’adolescence aux années de procréation.</w:t>
      </w:r>
    </w:p>
    <w:p w14:paraId="6D9E7D9B" w14:textId="77777777" w:rsidR="00E568F5" w:rsidRPr="00E568F5" w:rsidRDefault="00E568F5" w:rsidP="00E568F5">
      <w:r>
        <w:rPr>
          <w:color w:val="000000"/>
          <w:shd w:val="clear" w:color="auto" w:fill="FFFFFF"/>
        </w:rPr>
        <w:t>La FIGO se consacre à l’amélioration de la santé et des droits des femmes et à la réduction des inégalités dans les soins offerts aux femmes et aux nouveau-nés dans le monde entier. À ce titre, la FIGO reconnaît l’influence du racisme structurel sur les disparités dans les taux d’anémie et l’incidence de l’HPP, ainsi que le besoin urgent de se pencher sur ces paramètres sociaux dans le cadre d’une approche holistique de la santé des femmes.</w:t>
      </w:r>
    </w:p>
    <w:p w14:paraId="74459AAB" w14:textId="77777777" w:rsidR="00E568F5" w:rsidRPr="005B0141" w:rsidRDefault="00E568F5" w:rsidP="00E568F5">
      <w:pPr>
        <w:pStyle w:val="Heading1"/>
      </w:pPr>
      <w:r>
        <w:t>Les recommandations de la FIGO</w:t>
      </w:r>
    </w:p>
    <w:p w14:paraId="2D4B7999" w14:textId="77777777" w:rsidR="00E568F5" w:rsidRPr="00E568F5" w:rsidRDefault="00E568F5" w:rsidP="00E568F5">
      <w:pPr>
        <w:pStyle w:val="ListParagraph"/>
        <w:numPr>
          <w:ilvl w:val="0"/>
          <w:numId w:val="4"/>
        </w:numPr>
      </w:pPr>
      <w:r>
        <w:t>Tous les prestataires de soins de santé doivent se familiariser avec les facteurs qui prédisposent à l’hémorragie du post-partum et les groupes de patientes les plus exposées, depuis les soins de santé pendant la préconception jusqu’à la grossesse et l’accouchement.</w:t>
      </w:r>
    </w:p>
    <w:p w14:paraId="4384B694" w14:textId="77777777" w:rsidR="00E568F5" w:rsidRPr="00E568F5" w:rsidRDefault="00E568F5" w:rsidP="00E568F5">
      <w:pPr>
        <w:pStyle w:val="ListParagraph"/>
        <w:numPr>
          <w:ilvl w:val="0"/>
          <w:numId w:val="4"/>
        </w:numPr>
      </w:pPr>
      <w:r>
        <w:t>L’anémie doit être traitée de manière proactive par un traitement à base de fer, en envisageant la possibilité d’une perfusion intraveineuse lorsqu’elle est modérée ou sévère.</w:t>
      </w:r>
    </w:p>
    <w:p w14:paraId="555D16FE" w14:textId="77777777" w:rsidR="00E568F5" w:rsidRPr="00E568F5" w:rsidRDefault="00E568F5" w:rsidP="00E568F5">
      <w:pPr>
        <w:pStyle w:val="ListParagraph"/>
        <w:numPr>
          <w:ilvl w:val="0"/>
          <w:numId w:val="4"/>
        </w:numPr>
      </w:pPr>
      <w:r>
        <w:t>Une approche d’ensemble systématique impliquant la réactivité, la détection, l’intervention et le signalement doit être mise en œuvre dans chaque centre d’accouchement.</w:t>
      </w:r>
    </w:p>
    <w:p w14:paraId="6F47F632" w14:textId="77777777" w:rsidR="00E568F5" w:rsidRPr="00E568F5" w:rsidRDefault="00E568F5" w:rsidP="00E568F5">
      <w:pPr>
        <w:pStyle w:val="ListParagraph"/>
        <w:numPr>
          <w:ilvl w:val="0"/>
          <w:numId w:val="4"/>
        </w:numPr>
      </w:pPr>
      <w:r>
        <w:t>Les éléments de l’étude E-MOTIVE devraient être adoptés partout.</w:t>
      </w:r>
    </w:p>
    <w:p w14:paraId="36BCD9E5" w14:textId="77777777" w:rsidR="00E568F5" w:rsidRPr="00E568F5" w:rsidRDefault="00E568F5" w:rsidP="00E568F5">
      <w:pPr>
        <w:pStyle w:val="ListParagraph"/>
        <w:numPr>
          <w:ilvl w:val="0"/>
          <w:numId w:val="4"/>
        </w:numPr>
      </w:pPr>
      <w:r>
        <w:t>Les cliniciens et les établissements qui prodiguent des soins aux femmes pendant l’accouchement doivent prévoir la mise en place et l’entretien régulier de processus et de fournitures permettant d’assurer des mesures préventives de routine et de réagir rapidement aux situations d’urgence en cas d’HPP.</w:t>
      </w:r>
    </w:p>
    <w:p w14:paraId="05FFF83E" w14:textId="77777777" w:rsidR="00E568F5" w:rsidRPr="00E568F5" w:rsidRDefault="00E568F5" w:rsidP="00E568F5">
      <w:pPr>
        <w:pStyle w:val="ListParagraph"/>
        <w:numPr>
          <w:ilvl w:val="0"/>
          <w:numId w:val="4"/>
        </w:numPr>
      </w:pPr>
      <w:r>
        <w:t>Tous les systèmes de santé et tous les cliniciens doivent dispenser une formation appropriée en matière de prévention, de diagnostic et de traitement de l’HPP.</w:t>
      </w:r>
    </w:p>
    <w:p w14:paraId="47E31207" w14:textId="77777777" w:rsidR="00E568F5" w:rsidRPr="00E568F5" w:rsidRDefault="00E568F5" w:rsidP="00E568F5">
      <w:pPr>
        <w:pStyle w:val="ListParagraph"/>
        <w:numPr>
          <w:ilvl w:val="0"/>
          <w:numId w:val="4"/>
        </w:numPr>
      </w:pPr>
      <w:r>
        <w:t>Un engagement a été pris pour détecter et résoudre le racisme systémique qui a un impact négatif sur la prestation des soins et leurs résultats, à tous les niveaux.</w:t>
      </w:r>
    </w:p>
    <w:p w14:paraId="6D377686" w14:textId="3D575D58" w:rsidR="00E568F5" w:rsidRPr="00296EE3" w:rsidRDefault="00E568F5" w:rsidP="00E568F5">
      <w:pPr>
        <w:pStyle w:val="Heading1"/>
        <w:tabs>
          <w:tab w:val="left" w:pos="5305"/>
        </w:tabs>
      </w:pPr>
      <w:r>
        <w:t>Les engagements de la FIGO</w:t>
      </w:r>
    </w:p>
    <w:p w14:paraId="03CAE6AC" w14:textId="77777777" w:rsidR="00E568F5" w:rsidRPr="00296EE3" w:rsidRDefault="00E568F5" w:rsidP="00E568F5">
      <w:r>
        <w:lastRenderedPageBreak/>
        <w:t>La FIGO s’engage à promouvoir et à défendre la réduction de la morbidité et de la mortalité maternelles, dont l’un des éléments est l’utilisation réussie et avisée des utérotoniques. La FIGO reconnaît que pour sauver la vie des femmes, il convient d’améliorer leur santé et leur bien-être tout au long de leur vie dans le cadre d’une approche fondée sur le cycle de vie. Citons les recommandations de l’étude de l’IJGO :</w:t>
      </w:r>
    </w:p>
    <w:p w14:paraId="1A000EDB" w14:textId="77777777" w:rsidR="00E568F5" w:rsidRPr="00E568F5" w:rsidRDefault="00E568F5" w:rsidP="00E568F5">
      <w:pPr>
        <w:pStyle w:val="ListParagraph"/>
        <w:numPr>
          <w:ilvl w:val="0"/>
          <w:numId w:val="4"/>
        </w:numPr>
      </w:pPr>
      <w:r>
        <w:t>La FIGO fera campagne et collaborera avec d’autres organisations internationales pour réduire la mortalité et la morbidité maternelles dues à l’HPP.</w:t>
      </w:r>
    </w:p>
    <w:p w14:paraId="0F46AE25" w14:textId="77777777" w:rsidR="00E568F5" w:rsidRPr="00E568F5" w:rsidRDefault="00E568F5" w:rsidP="00E568F5">
      <w:pPr>
        <w:pStyle w:val="ListParagraph"/>
        <w:numPr>
          <w:ilvl w:val="0"/>
          <w:numId w:val="4"/>
        </w:numPr>
      </w:pPr>
      <w:r>
        <w:t>La FIGO travaillera avec toutes les sociétés nationales en collaboration avec le personnel infirmier et les sages-femmes pour faire pression sur leurs organisations régionales et nationales respectives afin de promouvoir et de mettre en œuvre ces recommandations.</w:t>
      </w:r>
    </w:p>
    <w:p w14:paraId="259378F7" w14:textId="77777777" w:rsidR="00E568F5" w:rsidRPr="00E568F5" w:rsidRDefault="00E568F5" w:rsidP="00E568F5">
      <w:pPr>
        <w:pStyle w:val="ListParagraph"/>
        <w:numPr>
          <w:ilvl w:val="0"/>
          <w:numId w:val="4"/>
        </w:numPr>
      </w:pPr>
      <w:r>
        <w:t>Toutes les sociétés d’obstétrique et de gynécologie, en collaboration avec d’autres sociétés de soins de santé, doivent adopter une stratégie pour la prévention et le traitement efficaces de l’HPP.</w:t>
      </w:r>
    </w:p>
    <w:p w14:paraId="25946610" w14:textId="77777777" w:rsidR="00E568F5" w:rsidRPr="00E568F5" w:rsidRDefault="00E568F5" w:rsidP="00E568F5">
      <w:pPr>
        <w:pStyle w:val="ListParagraph"/>
        <w:numPr>
          <w:ilvl w:val="0"/>
          <w:numId w:val="4"/>
        </w:numPr>
      </w:pPr>
      <w:r>
        <w:t>Toutes les sociétés nationales doivent faire pression sur leurs gouvernements locaux pour mettre en place une approche d’ensemble de l’HPP et assurer la disponibilité des fournitures médicales et du matériel chirurgical nécessaires à la prise en charge de l’HPP dans toutes les régions de leur pays.</w:t>
      </w:r>
    </w:p>
    <w:p w14:paraId="491C2E7B" w14:textId="77777777" w:rsidR="00E568F5" w:rsidRPr="00E568F5" w:rsidRDefault="00E568F5" w:rsidP="00E568F5">
      <w:pPr>
        <w:pStyle w:val="ListParagraph"/>
        <w:numPr>
          <w:ilvl w:val="0"/>
          <w:numId w:val="4"/>
        </w:numPr>
      </w:pPr>
      <w:r>
        <w:t>Tous les systèmes de santé ont le devoir de fournir des soins respectueux de la femme, du nourrisson et de la famille. Les systèmes de santé doivent fournir des médicaments appropriés et efficaces, de l’eau, de l’oxygène, du matériel, des formations et des dispositifs de transfert afin de réduire la morbidité et la mortalité maternelles.</w:t>
      </w:r>
    </w:p>
    <w:p w14:paraId="59300723" w14:textId="77777777" w:rsidR="00E568F5" w:rsidRPr="00E568F5" w:rsidRDefault="00E568F5" w:rsidP="00E568F5">
      <w:pPr>
        <w:rPr>
          <w:rFonts w:eastAsia="Arial"/>
        </w:rPr>
      </w:pPr>
      <w:r>
        <w:t>La FIGO remplira ses engagements :</w:t>
      </w:r>
    </w:p>
    <w:p w14:paraId="228EBD7B" w14:textId="77777777" w:rsidR="00E568F5" w:rsidRPr="00E568F5" w:rsidRDefault="00E568F5" w:rsidP="00E568F5">
      <w:pPr>
        <w:pStyle w:val="ListParagraph"/>
        <w:numPr>
          <w:ilvl w:val="0"/>
          <w:numId w:val="4"/>
        </w:numPr>
      </w:pPr>
      <w:r>
        <w:t>en développant et en diffusant des ressources sur les utérotoniques, y compris la complexité de la prévention et du traitement de l’HPP, à l’intention des professionnels de la santé,</w:t>
      </w:r>
    </w:p>
    <w:p w14:paraId="5907E383" w14:textId="77777777" w:rsidR="00E568F5" w:rsidRPr="00E568F5" w:rsidRDefault="00E568F5" w:rsidP="00E568F5">
      <w:pPr>
        <w:pStyle w:val="ListParagraph"/>
        <w:numPr>
          <w:ilvl w:val="0"/>
          <w:numId w:val="4"/>
        </w:numPr>
      </w:pPr>
      <w:r>
        <w:t>en influençant les systèmes de santé, les décideurs politiques et les prestataires pour les sensibiliser à la portée de la santé préconceptionnelle et des soins de grossesse sur la santé de leurs populations,</w:t>
      </w:r>
    </w:p>
    <w:p w14:paraId="1EAFEB8A" w14:textId="77777777" w:rsidR="00E568F5" w:rsidRPr="00E568F5" w:rsidRDefault="00E568F5" w:rsidP="00E568F5">
      <w:pPr>
        <w:pStyle w:val="ListParagraph"/>
        <w:numPr>
          <w:ilvl w:val="0"/>
          <w:numId w:val="4"/>
        </w:numPr>
      </w:pPr>
      <w:r>
        <w:t>en plaidant en faveur d’un renforcement des capacités des gynécologues, des obstétriciens, des professionnels de la santé au contact des patientes et des éducateurs en périnatalité,</w:t>
      </w:r>
    </w:p>
    <w:p w14:paraId="5DEBC387" w14:textId="77777777" w:rsidR="00E568F5" w:rsidRPr="00E568F5" w:rsidRDefault="00E568F5" w:rsidP="00E568F5">
      <w:pPr>
        <w:pStyle w:val="ListParagraph"/>
        <w:numPr>
          <w:ilvl w:val="0"/>
          <w:numId w:val="4"/>
        </w:numPr>
      </w:pPr>
      <w:r>
        <w:t>en plaidant en faveur de ressources qui soutiennent la collecte de données et les mécanismes de surveillance à l’échelle nationale et institutionnelle afin d’évaluer et de contrôler les taux d’HPP et les pratiques de prise en charge,</w:t>
      </w:r>
    </w:p>
    <w:p w14:paraId="38B90D4D" w14:textId="77777777" w:rsidR="00E568F5" w:rsidRPr="00E568F5" w:rsidRDefault="00E568F5" w:rsidP="00E568F5">
      <w:pPr>
        <w:pStyle w:val="ListParagraph"/>
        <w:numPr>
          <w:ilvl w:val="0"/>
          <w:numId w:val="4"/>
        </w:numPr>
      </w:pPr>
      <w:r>
        <w:t>en plaidant pour des soins sûrs et respectueux, notamment en abordant le racisme systémique.</w:t>
      </w:r>
    </w:p>
    <w:p w14:paraId="2EA9B5A3" w14:textId="77777777" w:rsidR="00635979" w:rsidRPr="004678EB" w:rsidRDefault="00635979" w:rsidP="00635979">
      <w:pPr>
        <w:rPr>
          <w:spacing w:val="-2"/>
        </w:rPr>
      </w:pPr>
    </w:p>
    <w:p w14:paraId="5B242579" w14:textId="28F5A423" w:rsidR="002F4DF6" w:rsidRPr="004678EB" w:rsidRDefault="004420B8" w:rsidP="004420B8">
      <w:pPr>
        <w:pStyle w:val="Heading1"/>
        <w:spacing w:after="0"/>
        <w:sectPr w:rsidR="002F4DF6" w:rsidRPr="004678EB" w:rsidSect="0081328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701" w:right="1134" w:bottom="851" w:left="1134" w:header="1418" w:footer="567" w:gutter="0"/>
          <w:cols w:space="720"/>
          <w:formProt w:val="0"/>
          <w:docGrid w:linePitch="299" w:charSpace="-6145"/>
        </w:sectPr>
      </w:pPr>
      <w:r w:rsidRPr="004678EB">
        <w:t>Références</w:t>
      </w:r>
    </w:p>
    <w:p w14:paraId="451F6704" w14:textId="1DDA2C6A" w:rsidR="003D6656" w:rsidRPr="004678EB" w:rsidRDefault="003D6656" w:rsidP="003D6656">
      <w:pPr>
        <w:pStyle w:val="ListParagraph"/>
        <w:numPr>
          <w:ilvl w:val="0"/>
          <w:numId w:val="10"/>
        </w:numPr>
        <w:rPr>
          <w:rStyle w:val="Hyperlink"/>
          <w:rFonts w:asciiTheme="minorHAnsi" w:hAnsiTheme="minorHAnsi" w:cstheme="minorHAnsi"/>
          <w:color w:val="auto"/>
          <w:shd w:val="clear" w:color="auto" w:fill="FFFFFF"/>
        </w:rPr>
      </w:pPr>
      <w:r w:rsidRPr="004678EB">
        <w:rPr>
          <w:rFonts w:asciiTheme="minorHAnsi" w:eastAsia="SimSun" w:hAnsiTheme="minorHAnsi" w:cstheme="minorHAnsi"/>
        </w:rPr>
        <w:fldChar w:fldCharType="begin"/>
      </w:r>
      <w:r w:rsidRPr="004678EB">
        <w:rPr>
          <w:rFonts w:asciiTheme="minorHAnsi" w:hAnsiTheme="minorHAnsi" w:cstheme="minorHAnsi"/>
        </w:rPr>
        <w:instrText xml:space="preserve"> ADDIN EN.REFLIST </w:instrText>
      </w:r>
      <w:r w:rsidRPr="004678EB">
        <w:rPr>
          <w:rFonts w:asciiTheme="minorHAnsi" w:eastAsia="SimSun" w:hAnsiTheme="minorHAnsi" w:cstheme="minorHAnsi"/>
        </w:rPr>
        <w:fldChar w:fldCharType="separate"/>
      </w:r>
      <w:r w:rsidRPr="004678EB">
        <w:rPr>
          <w:rStyle w:val="author"/>
          <w:rFonts w:asciiTheme="minorHAnsi" w:hAnsiTheme="minorHAnsi" w:cstheme="minorHAnsi"/>
          <w:shd w:val="clear" w:color="auto" w:fill="FFFFFF"/>
        </w:rPr>
        <w:t>Escobar, MF</w:t>
      </w:r>
      <w:r w:rsidRPr="004678EB">
        <w:rPr>
          <w:rFonts w:asciiTheme="minorHAnsi" w:hAnsiTheme="minorHAnsi" w:cstheme="minorHAnsi"/>
          <w:shd w:val="clear" w:color="auto" w:fill="FFFFFF"/>
        </w:rPr>
        <w:t>, </w:t>
      </w:r>
      <w:r w:rsidRPr="004678EB">
        <w:rPr>
          <w:rStyle w:val="author"/>
          <w:rFonts w:asciiTheme="minorHAnsi" w:hAnsiTheme="minorHAnsi" w:cstheme="minorHAnsi"/>
          <w:shd w:val="clear" w:color="auto" w:fill="FFFFFF"/>
        </w:rPr>
        <w:t>Nassar, AH</w:t>
      </w:r>
      <w:r w:rsidRPr="004678EB">
        <w:rPr>
          <w:rFonts w:asciiTheme="minorHAnsi" w:hAnsiTheme="minorHAnsi" w:cstheme="minorHAnsi"/>
          <w:shd w:val="clear" w:color="auto" w:fill="FFFFFF"/>
        </w:rPr>
        <w:t>, </w:t>
      </w:r>
      <w:r w:rsidRPr="004678EB">
        <w:rPr>
          <w:rStyle w:val="author"/>
          <w:rFonts w:asciiTheme="minorHAnsi" w:hAnsiTheme="minorHAnsi" w:cstheme="minorHAnsi"/>
          <w:shd w:val="clear" w:color="auto" w:fill="FFFFFF"/>
        </w:rPr>
        <w:t>Theron, G</w:t>
      </w:r>
      <w:r w:rsidRPr="004678EB">
        <w:rPr>
          <w:rFonts w:asciiTheme="minorHAnsi" w:hAnsiTheme="minorHAnsi" w:cstheme="minorHAnsi"/>
          <w:shd w:val="clear" w:color="auto" w:fill="FFFFFF"/>
        </w:rPr>
        <w:t> et al. </w:t>
      </w:r>
      <w:r w:rsidRPr="004678EB">
        <w:rPr>
          <w:rStyle w:val="articletitle"/>
          <w:rFonts w:asciiTheme="minorHAnsi" w:hAnsiTheme="minorHAnsi" w:cstheme="minorHAnsi"/>
          <w:shd w:val="clear" w:color="auto" w:fill="FFFFFF"/>
          <w:lang w:val="en-US"/>
        </w:rPr>
        <w:t>FIGO recommendations on the management of postpartum hemorrhage 2022</w:t>
      </w:r>
      <w:r w:rsidRPr="004678EB">
        <w:rPr>
          <w:rFonts w:asciiTheme="minorHAnsi" w:hAnsiTheme="minorHAnsi" w:cstheme="minorHAnsi"/>
          <w:shd w:val="clear" w:color="auto" w:fill="FFFFFF"/>
          <w:lang w:val="en-US"/>
        </w:rPr>
        <w:t>. </w:t>
      </w:r>
      <w:r w:rsidRPr="004678EB">
        <w:rPr>
          <w:rFonts w:asciiTheme="minorHAnsi" w:hAnsiTheme="minorHAnsi" w:cstheme="minorHAnsi"/>
          <w:i/>
          <w:shd w:val="clear" w:color="auto" w:fill="FFFFFF"/>
        </w:rPr>
        <w:t>Int J Gynecol Obstet</w:t>
      </w:r>
      <w:r w:rsidRPr="004678EB">
        <w:rPr>
          <w:rFonts w:asciiTheme="minorHAnsi" w:hAnsiTheme="minorHAnsi" w:cstheme="minorHAnsi"/>
          <w:shd w:val="clear" w:color="auto" w:fill="FFFFFF"/>
        </w:rPr>
        <w:t>. </w:t>
      </w:r>
      <w:r w:rsidRPr="004678EB">
        <w:rPr>
          <w:rStyle w:val="pubyear"/>
          <w:rFonts w:asciiTheme="minorHAnsi" w:hAnsiTheme="minorHAnsi" w:cstheme="minorHAnsi"/>
          <w:shd w:val="clear" w:color="auto" w:fill="FFFFFF"/>
        </w:rPr>
        <w:t>2022</w:t>
      </w:r>
      <w:r w:rsidRPr="004678EB">
        <w:rPr>
          <w:rFonts w:asciiTheme="minorHAnsi" w:hAnsiTheme="minorHAnsi" w:cstheme="minorHAnsi"/>
          <w:shd w:val="clear" w:color="auto" w:fill="FFFFFF"/>
        </w:rPr>
        <w:t>; </w:t>
      </w:r>
      <w:r w:rsidRPr="004678EB">
        <w:rPr>
          <w:rStyle w:val="vol"/>
          <w:rFonts w:asciiTheme="minorHAnsi" w:hAnsiTheme="minorHAnsi" w:cstheme="minorHAnsi"/>
          <w:shd w:val="clear" w:color="auto" w:fill="FFFFFF"/>
        </w:rPr>
        <w:t>157(Suppl. 1)</w:t>
      </w:r>
      <w:r w:rsidRPr="004678EB">
        <w:rPr>
          <w:rFonts w:asciiTheme="minorHAnsi" w:hAnsiTheme="minorHAnsi" w:cstheme="minorHAnsi"/>
          <w:shd w:val="clear" w:color="auto" w:fill="FFFFFF"/>
        </w:rPr>
        <w:t>: </w:t>
      </w:r>
      <w:r w:rsidRPr="004678EB">
        <w:rPr>
          <w:rStyle w:val="pagefirst"/>
          <w:rFonts w:asciiTheme="minorHAnsi" w:hAnsiTheme="minorHAnsi" w:cstheme="minorHAnsi"/>
          <w:shd w:val="clear" w:color="auto" w:fill="FFFFFF"/>
        </w:rPr>
        <w:t>3</w:t>
      </w:r>
      <w:r w:rsidRPr="004678EB">
        <w:rPr>
          <w:rFonts w:asciiTheme="minorHAnsi" w:hAnsiTheme="minorHAnsi" w:cstheme="minorHAnsi"/>
          <w:shd w:val="clear" w:color="auto" w:fill="FFFFFF"/>
        </w:rPr>
        <w:t>–</w:t>
      </w:r>
      <w:r w:rsidRPr="004678EB">
        <w:rPr>
          <w:rStyle w:val="pagelast"/>
          <w:rFonts w:asciiTheme="minorHAnsi" w:hAnsiTheme="minorHAnsi" w:cstheme="minorHAnsi"/>
          <w:shd w:val="clear" w:color="auto" w:fill="FFFFFF"/>
        </w:rPr>
        <w:t>50</w:t>
      </w:r>
      <w:r w:rsidRPr="004678EB">
        <w:rPr>
          <w:rFonts w:asciiTheme="minorHAnsi" w:hAnsiTheme="minorHAnsi" w:cstheme="minorHAnsi"/>
          <w:shd w:val="clear" w:color="auto" w:fill="FFFFFF"/>
        </w:rPr>
        <w:t>. doi:</w:t>
      </w:r>
      <w:r w:rsidRPr="004678EB">
        <w:fldChar w:fldCharType="begin"/>
      </w:r>
      <w:r w:rsidRPr="004678EB">
        <w:instrText>HYPERLINK "https://doi.org/10.1002/ijgo.14071"</w:instrText>
      </w:r>
      <w:r w:rsidRPr="004678EB">
        <w:fldChar w:fldCharType="separate"/>
      </w:r>
      <w:r w:rsidRPr="004678EB">
        <w:rPr>
          <w:rStyle w:val="Hyperlink"/>
          <w:rFonts w:asciiTheme="minorHAnsi" w:hAnsiTheme="minorHAnsi" w:cstheme="minorHAnsi"/>
          <w:color w:val="auto"/>
          <w:u w:val="none"/>
          <w:shd w:val="clear" w:color="auto" w:fill="FFFFFF"/>
        </w:rPr>
        <w:t>10.1002/ijgo.14116</w:t>
      </w:r>
      <w:r w:rsidRPr="004678EB">
        <w:rPr>
          <w:rStyle w:val="Hyperlink"/>
          <w:rFonts w:asciiTheme="minorHAnsi" w:hAnsiTheme="minorHAnsi" w:cstheme="minorHAnsi"/>
          <w:color w:val="auto"/>
          <w:u w:val="none"/>
          <w:shd w:val="clear" w:color="auto" w:fill="FFFFFF"/>
        </w:rPr>
        <w:fldChar w:fldCharType="end"/>
      </w:r>
    </w:p>
    <w:p w14:paraId="60BFE376" w14:textId="77777777" w:rsidR="003D6656" w:rsidRPr="004678EB" w:rsidRDefault="003D6656" w:rsidP="003D6656">
      <w:pPr>
        <w:pStyle w:val="ListParagraph"/>
        <w:numPr>
          <w:ilvl w:val="0"/>
          <w:numId w:val="10"/>
        </w:numPr>
        <w:rPr>
          <w:rStyle w:val="Hyperlink"/>
          <w:rFonts w:asciiTheme="minorHAnsi" w:hAnsiTheme="minorHAnsi" w:cstheme="minorHAnsi"/>
          <w:color w:val="auto"/>
          <w:u w:val="none"/>
          <w:shd w:val="clear" w:color="auto" w:fill="FFFFFF"/>
        </w:rPr>
      </w:pPr>
      <w:r w:rsidRPr="004678EB">
        <w:rPr>
          <w:rStyle w:val="Hyperlink"/>
          <w:rFonts w:asciiTheme="minorHAnsi" w:hAnsiTheme="minorHAnsi" w:cstheme="minorHAnsi"/>
          <w:color w:val="auto"/>
          <w:u w:val="none"/>
          <w:shd w:val="clear" w:color="auto" w:fill="FFFFFF"/>
          <w:lang w:val="en-US"/>
        </w:rPr>
        <w:t xml:space="preserve">WHO postpartum haemorrhage (PPH) summit. </w:t>
      </w:r>
      <w:r w:rsidRPr="004678EB">
        <w:rPr>
          <w:rStyle w:val="Hyperlink"/>
          <w:rFonts w:asciiTheme="minorHAnsi" w:hAnsiTheme="minorHAnsi" w:cstheme="minorHAnsi"/>
          <w:color w:val="auto"/>
          <w:u w:val="none"/>
          <w:shd w:val="clear" w:color="auto" w:fill="FFFFFF"/>
        </w:rPr>
        <w:t>September 29, 2022. https://www.who.int/publications/m/item/who-postpartum-haemorrhage-(pph)-summit.</w:t>
      </w:r>
    </w:p>
    <w:p w14:paraId="54457E44" w14:textId="77777777" w:rsidR="00863417" w:rsidRPr="004678EB" w:rsidRDefault="003D6656" w:rsidP="00A30D4E">
      <w:pPr>
        <w:pStyle w:val="ListParagraph"/>
        <w:numPr>
          <w:ilvl w:val="0"/>
          <w:numId w:val="10"/>
        </w:numPr>
        <w:rPr>
          <w:rStyle w:val="Hyperlink"/>
          <w:rFonts w:asciiTheme="minorHAnsi" w:hAnsiTheme="minorHAnsi" w:cstheme="minorHAnsi"/>
          <w:color w:val="auto"/>
          <w:u w:val="none"/>
        </w:rPr>
      </w:pPr>
      <w:r w:rsidRPr="004678EB">
        <w:rPr>
          <w:rStyle w:val="Hyperlink"/>
          <w:rFonts w:asciiTheme="minorHAnsi" w:hAnsiTheme="minorHAnsi" w:cstheme="minorHAnsi"/>
          <w:color w:val="auto"/>
          <w:u w:val="none"/>
          <w:shd w:val="clear" w:color="auto" w:fill="FFFFFF"/>
        </w:rPr>
        <w:t xml:space="preserve">FIGO. </w:t>
      </w:r>
      <w:r w:rsidR="00863417" w:rsidRPr="004678EB">
        <w:rPr>
          <w:rStyle w:val="Hyperlink"/>
          <w:rFonts w:asciiTheme="minorHAnsi" w:hAnsiTheme="minorHAnsi" w:cstheme="minorHAnsi"/>
          <w:color w:val="auto"/>
          <w:u w:val="none"/>
          <w:shd w:val="clear" w:color="auto" w:fill="FFFFFF"/>
        </w:rPr>
        <w:t>La carence en fer et l’anémie chez les femmes et les jeunes filles</w:t>
      </w:r>
      <w:r w:rsidRPr="004678EB">
        <w:rPr>
          <w:rStyle w:val="Hyperlink"/>
          <w:rFonts w:asciiTheme="minorHAnsi" w:hAnsiTheme="minorHAnsi" w:cstheme="minorHAnsi"/>
          <w:color w:val="auto"/>
          <w:u w:val="none"/>
          <w:shd w:val="clear" w:color="auto" w:fill="FFFFFF"/>
        </w:rPr>
        <w:t xml:space="preserve">. </w:t>
      </w:r>
      <w:r w:rsidR="00863417" w:rsidRPr="004678EB">
        <w:rPr>
          <w:rStyle w:val="Hyperlink"/>
          <w:rFonts w:asciiTheme="minorHAnsi" w:hAnsiTheme="minorHAnsi" w:cstheme="minorHAnsi"/>
          <w:color w:val="auto"/>
          <w:u w:val="none"/>
          <w:shd w:val="clear" w:color="auto" w:fill="FFFFFF"/>
        </w:rPr>
        <w:t>https://www.figo.org/fr/resources/figo-statements/iron-deficiency-and-anaemia-women-and-girls</w:t>
      </w:r>
    </w:p>
    <w:p w14:paraId="7D86FF36" w14:textId="3509CE8B" w:rsidR="003D6656" w:rsidRPr="004678EB" w:rsidRDefault="003D6656" w:rsidP="00A30D4E">
      <w:pPr>
        <w:pStyle w:val="ListParagraph"/>
        <w:numPr>
          <w:ilvl w:val="0"/>
          <w:numId w:val="10"/>
        </w:numPr>
        <w:rPr>
          <w:rStyle w:val="Hyperlink"/>
          <w:rFonts w:asciiTheme="minorHAnsi" w:hAnsiTheme="minorHAnsi" w:cstheme="minorHAnsi"/>
          <w:color w:val="auto"/>
          <w:u w:val="none"/>
        </w:rPr>
      </w:pPr>
      <w:r w:rsidRPr="004678EB">
        <w:rPr>
          <w:rFonts w:asciiTheme="minorHAnsi" w:hAnsiTheme="minorHAnsi" w:cstheme="minorHAnsi"/>
        </w:rPr>
        <w:lastRenderedPageBreak/>
        <w:t>An Analysis of Societal Determinant of Anemia among Adolescent Girls in Azad Jammu and Kashmir, Pakistan (N. Habib et al, 2020) doi: </w:t>
      </w:r>
      <w:hyperlink r:id="rId17" w:history="1">
        <w:r w:rsidRPr="004678EB">
          <w:rPr>
            <w:rFonts w:asciiTheme="minorHAnsi" w:hAnsiTheme="minorHAnsi" w:cstheme="minorHAnsi"/>
            <w:u w:val="single" w:color="094FD1"/>
          </w:rPr>
          <w:t>10.1155/2020/1628357</w:t>
        </w:r>
      </w:hyperlink>
    </w:p>
    <w:p w14:paraId="3EF9C90E" w14:textId="77777777" w:rsidR="003D6656" w:rsidRPr="004678EB" w:rsidRDefault="003D6656" w:rsidP="003D6656">
      <w:pPr>
        <w:pStyle w:val="ListParagraph"/>
        <w:numPr>
          <w:ilvl w:val="0"/>
          <w:numId w:val="10"/>
        </w:numPr>
        <w:rPr>
          <w:rFonts w:asciiTheme="minorHAnsi" w:hAnsiTheme="minorHAnsi" w:cstheme="minorHAnsi"/>
        </w:rPr>
      </w:pPr>
      <w:r w:rsidRPr="004678EB">
        <w:rPr>
          <w:rFonts w:asciiTheme="minorHAnsi" w:hAnsiTheme="minorHAnsi" w:cstheme="minorHAnsi"/>
          <w:lang w:val="en-US"/>
        </w:rPr>
        <w:t xml:space="preserve">The WOMAN-2 trial collaborators. Maternal anaemia and the risk of postpartum haemorrhage: a cohort analysis of data from the WOMAN-2 trial. </w:t>
      </w:r>
      <w:r w:rsidRPr="004678EB">
        <w:rPr>
          <w:rFonts w:asciiTheme="minorHAnsi" w:hAnsiTheme="minorHAnsi" w:cstheme="minorHAnsi"/>
        </w:rPr>
        <w:t>Lancet Glob Health 2023; 11: e1249–59</w:t>
      </w:r>
    </w:p>
    <w:p w14:paraId="0FA30378" w14:textId="77777777" w:rsidR="003D6656" w:rsidRPr="004678EB" w:rsidRDefault="003D6656" w:rsidP="003D6656">
      <w:pPr>
        <w:pStyle w:val="ListParagraph"/>
        <w:numPr>
          <w:ilvl w:val="0"/>
          <w:numId w:val="10"/>
        </w:numPr>
        <w:rPr>
          <w:rFonts w:asciiTheme="minorHAnsi" w:hAnsiTheme="minorHAnsi" w:cstheme="minorHAnsi"/>
        </w:rPr>
      </w:pPr>
      <w:r w:rsidRPr="004678EB">
        <w:rPr>
          <w:rFonts w:asciiTheme="minorHAnsi" w:hAnsiTheme="minorHAnsi" w:cstheme="minorHAnsi"/>
          <w:shd w:val="clear" w:color="auto" w:fill="FFFFFF"/>
          <w:lang w:val="en-US"/>
        </w:rPr>
        <w:t xml:space="preserve"> </w:t>
      </w:r>
      <w:r w:rsidRPr="004678EB">
        <w:rPr>
          <w:rFonts w:asciiTheme="minorHAnsi" w:hAnsiTheme="minorHAnsi" w:cstheme="minorHAnsi"/>
          <w:lang w:val="en-US"/>
        </w:rPr>
        <w:t xml:space="preserve">Postpartum Hemorrhage Practice Bulletin No 183. The American College of Obstetricians and Gynecologists. </w:t>
      </w:r>
      <w:r w:rsidRPr="004678EB">
        <w:rPr>
          <w:rFonts w:asciiTheme="minorHAnsi" w:hAnsiTheme="minorHAnsi" w:cstheme="minorHAnsi"/>
        </w:rPr>
        <w:t>Obstet.Gynecol 2017. 130: e168-186.</w:t>
      </w:r>
    </w:p>
    <w:p w14:paraId="7BC8BCDA" w14:textId="77777777" w:rsidR="003D6656" w:rsidRPr="004678EB" w:rsidRDefault="003D6656" w:rsidP="003D6656">
      <w:pPr>
        <w:pStyle w:val="ListParagraph"/>
        <w:numPr>
          <w:ilvl w:val="0"/>
          <w:numId w:val="10"/>
        </w:numPr>
        <w:rPr>
          <w:rFonts w:asciiTheme="minorHAnsi" w:hAnsiTheme="minorHAnsi" w:cstheme="minorHAnsi"/>
        </w:rPr>
      </w:pPr>
      <w:r w:rsidRPr="004678EB">
        <w:rPr>
          <w:rFonts w:asciiTheme="minorHAnsi" w:hAnsiTheme="minorHAnsi" w:cstheme="minorHAnsi"/>
        </w:rPr>
        <w:t xml:space="preserve">Bukhi, Talan. Understanding Postpartum Haemorrhage. </w:t>
      </w:r>
      <w:r w:rsidRPr="004678EB">
        <w:rPr>
          <w:rFonts w:asciiTheme="minorHAnsi" w:hAnsiTheme="minorHAnsi" w:cstheme="minorHAnsi"/>
          <w:i/>
        </w:rPr>
        <w:t>Lancet</w:t>
      </w:r>
      <w:r w:rsidRPr="004678EB">
        <w:rPr>
          <w:rFonts w:asciiTheme="minorHAnsi" w:hAnsiTheme="minorHAnsi" w:cstheme="minorHAnsi"/>
        </w:rPr>
        <w:t>. Vol 402 August 19, 2023.</w:t>
      </w:r>
    </w:p>
    <w:p w14:paraId="5F01E21E" w14:textId="77777777" w:rsidR="003D6656" w:rsidRPr="004678EB" w:rsidRDefault="003D6656" w:rsidP="003D6656">
      <w:pPr>
        <w:pStyle w:val="ListParagraph"/>
        <w:numPr>
          <w:ilvl w:val="0"/>
          <w:numId w:val="10"/>
        </w:numPr>
        <w:rPr>
          <w:rFonts w:asciiTheme="minorHAnsi" w:hAnsiTheme="minorHAnsi" w:cstheme="minorHAnsi"/>
          <w:shd w:val="clear" w:color="auto" w:fill="FFFFFF"/>
          <w:lang w:val="en-US"/>
        </w:rPr>
      </w:pPr>
      <w:r w:rsidRPr="004678EB">
        <w:rPr>
          <w:rFonts w:asciiTheme="minorHAnsi" w:hAnsiTheme="minorHAnsi" w:cstheme="minorHAnsi"/>
          <w:shd w:val="clear" w:color="auto" w:fill="FFFFFF"/>
          <w:lang w:val="en-US"/>
        </w:rPr>
        <w:t>Gallos ID, Papadopoulou A, Man R, et al. Uterotonic agents for preventing postpartum haemorrhage: a network meta-analysis. Cochrane Database Syst Rev. 2018 Dec 19;12(12):CD011689. doi: 10.1002/14651858.CD011689.pub3</w:t>
      </w:r>
    </w:p>
    <w:p w14:paraId="664C7A87" w14:textId="77777777" w:rsidR="003D6656" w:rsidRPr="004678EB" w:rsidRDefault="003D6656" w:rsidP="003D6656">
      <w:pPr>
        <w:pStyle w:val="ListParagraph"/>
        <w:numPr>
          <w:ilvl w:val="0"/>
          <w:numId w:val="10"/>
        </w:numPr>
        <w:rPr>
          <w:rFonts w:asciiTheme="minorHAnsi" w:hAnsiTheme="minorHAnsi" w:cstheme="minorHAnsi"/>
        </w:rPr>
      </w:pPr>
      <w:r w:rsidRPr="004678EB">
        <w:rPr>
          <w:rFonts w:asciiTheme="minorHAnsi" w:hAnsiTheme="minorHAnsi" w:cstheme="minorHAnsi"/>
          <w:lang w:val="en-US"/>
        </w:rPr>
        <w:t xml:space="preserve">Gallos, et al, 2023. Randomized Trial of Early Detection and Treatment of Postpartum Hemorrhage N Engl J Med 2023;389:11-21. </w:t>
      </w:r>
      <w:r w:rsidRPr="004678EB">
        <w:rPr>
          <w:rFonts w:asciiTheme="minorHAnsi" w:hAnsiTheme="minorHAnsi" w:cstheme="minorHAnsi"/>
        </w:rPr>
        <w:t>DOI: 10.1056/NEJMoa2303966</w:t>
      </w:r>
    </w:p>
    <w:p w14:paraId="1F0580E2" w14:textId="77777777" w:rsidR="003D6656" w:rsidRPr="004678EB" w:rsidRDefault="003D6656" w:rsidP="003D6656">
      <w:pPr>
        <w:pStyle w:val="ListParagraph"/>
        <w:numPr>
          <w:ilvl w:val="0"/>
          <w:numId w:val="10"/>
        </w:numPr>
        <w:rPr>
          <w:rFonts w:asciiTheme="minorHAnsi" w:hAnsiTheme="minorHAnsi" w:cstheme="minorHAnsi"/>
          <w:shd w:val="clear" w:color="auto" w:fill="FFFFFF"/>
        </w:rPr>
      </w:pPr>
      <w:r w:rsidRPr="004678EB">
        <w:rPr>
          <w:rFonts w:asciiTheme="minorHAnsi" w:hAnsiTheme="minorHAnsi" w:cstheme="minorHAnsi"/>
          <w:shd w:val="clear" w:color="auto" w:fill="FFFFFF"/>
          <w:lang w:val="en-US"/>
        </w:rPr>
        <w:t xml:space="preserve">Liu LY, Nathan L, Sheen JJ, Goffman D. Review of Current Insights and Therapeutic Approaches for the Treatment of Refractory Postpartum Hemorrhage. </w:t>
      </w:r>
      <w:r w:rsidRPr="004678EB">
        <w:rPr>
          <w:rFonts w:asciiTheme="minorHAnsi" w:hAnsiTheme="minorHAnsi" w:cstheme="minorHAnsi"/>
          <w:shd w:val="clear" w:color="auto" w:fill="FFFFFF"/>
        </w:rPr>
        <w:t>Int J Womens Health. 2023 Jun 1; 15:905-926. doi: 10.2147/IJWH.S366675</w:t>
      </w:r>
    </w:p>
    <w:p w14:paraId="312E30E6" w14:textId="2E8CF415" w:rsidR="003D6656" w:rsidRPr="004678EB" w:rsidRDefault="003D6656" w:rsidP="003D6656">
      <w:pPr>
        <w:pStyle w:val="ListParagraph"/>
        <w:numPr>
          <w:ilvl w:val="0"/>
          <w:numId w:val="10"/>
        </w:numPr>
        <w:rPr>
          <w:rFonts w:asciiTheme="minorHAnsi" w:hAnsiTheme="minorHAnsi" w:cstheme="minorHAnsi"/>
        </w:rPr>
      </w:pPr>
      <w:r w:rsidRPr="004678EB">
        <w:rPr>
          <w:rFonts w:asciiTheme="minorHAnsi" w:hAnsiTheme="minorHAnsi" w:cstheme="minorHAnsi"/>
        </w:rPr>
        <w:t>FIGO et ICM. Déclaration commune de recommandation pour l’utilisation d’utérotoniques pour la prévention de l’hémorragie du post-partum.</w:t>
      </w:r>
      <w:r w:rsidR="003530EB" w:rsidRPr="004678EB">
        <w:t xml:space="preserve"> </w:t>
      </w:r>
      <w:r w:rsidR="003530EB" w:rsidRPr="004678EB">
        <w:rPr>
          <w:rFonts w:asciiTheme="minorHAnsi" w:hAnsiTheme="minorHAnsi" w:cstheme="minorHAnsi"/>
        </w:rPr>
        <w:t>https://www.figo.org/fr/d%C3%A9claration-jointe-recommandation-ut%C3%A9rotonique-pr%C3%A9vention-pph</w:t>
      </w:r>
    </w:p>
    <w:p w14:paraId="147854F6" w14:textId="5416B661" w:rsidR="003614E7" w:rsidRPr="003D6656" w:rsidRDefault="003D6656" w:rsidP="003D6656">
      <w:pPr>
        <w:rPr>
          <w:rFonts w:asciiTheme="minorHAnsi" w:hAnsiTheme="minorHAnsi" w:cstheme="minorHAnsi"/>
        </w:rPr>
        <w:sectPr w:rsidR="003614E7" w:rsidRPr="003D6656" w:rsidSect="004420B8">
          <w:endnotePr>
            <w:numFmt w:val="decimal"/>
          </w:endnotePr>
          <w:type w:val="continuous"/>
          <w:pgSz w:w="11906" w:h="16838"/>
          <w:pgMar w:top="1701" w:right="1134" w:bottom="851" w:left="1134" w:header="1418" w:footer="567" w:gutter="0"/>
          <w:cols w:space="720"/>
          <w:formProt w:val="0"/>
          <w:docGrid w:linePitch="299" w:charSpace="-6145"/>
        </w:sectPr>
      </w:pPr>
      <w:r w:rsidRPr="004678EB">
        <w:rPr>
          <w:rFonts w:asciiTheme="minorHAnsi" w:hAnsiTheme="minorHAnsi" w:cstheme="minorHAnsi"/>
          <w:b/>
          <w:color w:val="auto"/>
        </w:rPr>
        <w:fldChar w:fldCharType="end"/>
      </w:r>
    </w:p>
    <w:p w14:paraId="232C5A42" w14:textId="53B7A869" w:rsidR="00626985" w:rsidRPr="003614E7" w:rsidRDefault="00B317E5" w:rsidP="00FF3245">
      <w:pPr>
        <w:pStyle w:val="References"/>
      </w:pPr>
      <w:r>
        <w:rPr>
          <w:noProof/>
        </w:rPr>
        <w:lastRenderedPageBreak/>
        <mc:AlternateContent>
          <mc:Choice Requires="wpg">
            <w:drawing>
              <wp:anchor distT="0" distB="0" distL="114300" distR="114300" simplePos="0" relativeHeight="251658240" behindDoc="0" locked="0" layoutInCell="1" allowOverlap="1" wp14:anchorId="26A43F05" wp14:editId="366152D8">
                <wp:simplePos x="0" y="0"/>
                <wp:positionH relativeFrom="column">
                  <wp:posOffset>-720090</wp:posOffset>
                </wp:positionH>
                <wp:positionV relativeFrom="paragraph">
                  <wp:posOffset>295910</wp:posOffset>
                </wp:positionV>
                <wp:extent cx="7559675" cy="6871335"/>
                <wp:effectExtent l="0" t="0" r="3175" b="5715"/>
                <wp:wrapTopAndBottom/>
                <wp:docPr id="24" name="Group 24"/>
                <wp:cNvGraphicFramePr/>
                <a:graphic xmlns:a="http://schemas.openxmlformats.org/drawingml/2006/main">
                  <a:graphicData uri="http://schemas.microsoft.com/office/word/2010/wordprocessingGroup">
                    <wpg:wgp>
                      <wpg:cNvGrpSpPr/>
                      <wpg:grpSpPr>
                        <a:xfrm>
                          <a:off x="0" y="0"/>
                          <a:ext cx="7559675" cy="6871335"/>
                          <a:chOff x="0" y="-2301660"/>
                          <a:chExt cx="7559675" cy="6167062"/>
                        </a:xfrm>
                      </wpg:grpSpPr>
                      <wps:wsp>
                        <wps:cNvPr id="25" name="Rectangle 25"/>
                        <wps:cNvSpPr/>
                        <wps:spPr>
                          <a:xfrm>
                            <a:off x="0" y="-2301660"/>
                            <a:ext cx="7559675" cy="6167062"/>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716973" y="-2240108"/>
                            <a:ext cx="6126480" cy="5951916"/>
                          </a:xfrm>
                          <a:prstGeom prst="rect">
                            <a:avLst/>
                          </a:prstGeom>
                          <a:noFill/>
                          <a:ln w="6350">
                            <a:noFill/>
                          </a:ln>
                        </wps:spPr>
                        <wps:txbx>
                          <w:txbxContent>
                            <w:p w14:paraId="26FA55AA" w14:textId="77777777" w:rsidR="00A63E0D" w:rsidRPr="004678EB" w:rsidRDefault="00A63E0D" w:rsidP="00A63E0D">
                              <w:pPr>
                                <w:spacing w:after="120"/>
                                <w:rPr>
                                  <w:b/>
                                  <w:bCs/>
                                  <w:color w:val="00AD86" w:themeColor="accent1"/>
                                  <w:sz w:val="21"/>
                                  <w:szCs w:val="22"/>
                                </w:rPr>
                              </w:pPr>
                              <w:r w:rsidRPr="004678EB">
                                <w:rPr>
                                  <w:b/>
                                  <w:color w:val="00AD86" w:themeColor="accent1"/>
                                  <w:sz w:val="21"/>
                                </w:rPr>
                                <w:t>À propos de la FIGO</w:t>
                              </w:r>
                            </w:p>
                            <w:p w14:paraId="4176A60E" w14:textId="77777777" w:rsidR="005639C5" w:rsidRPr="004678EB" w:rsidRDefault="00A63E0D" w:rsidP="00A63E0D">
                              <w:pPr>
                                <w:rPr>
                                  <w:sz w:val="20"/>
                                </w:rPr>
                              </w:pPr>
                              <w:r w:rsidRPr="004678EB">
                                <w:rPr>
                                  <w:sz w:val="20"/>
                                </w:rPr>
                                <w:t>La FIGO est une organisation professionnelle qui regroupe plus de 130 associations de gynécologie</w:t>
                              </w:r>
                              <w:r w:rsidRPr="004678EB">
                                <w:rPr>
                                  <w:sz w:val="20"/>
                                </w:rPr>
                                <w:noBreakHyphen/>
                                <w:t>obstétrique du monde entier. La FIGO a pour vision d’offrir aux femmes du monde entier le niveau le plus élevé possible de santé et de bien-être sur le plan physique, psychologique, reproductif et sexuel tout au long de leur vie. Pour mettre en œuvre cette vision, le travail de la FIGO repose sur quatre piliers : l’éducation, l’application de recherches, la sensibilisation et le renforcement des compétences.</w:t>
                              </w:r>
                            </w:p>
                            <w:p w14:paraId="7B76A85E" w14:textId="02BEB910" w:rsidR="00A63E0D" w:rsidRPr="004678EB" w:rsidRDefault="00A63E0D" w:rsidP="005639C5">
                              <w:pPr>
                                <w:rPr>
                                  <w:sz w:val="20"/>
                                  <w:szCs w:val="20"/>
                                </w:rPr>
                              </w:pPr>
                              <w:r w:rsidRPr="004678EB">
                                <w:rPr>
                                  <w:sz w:val="20"/>
                                </w:rPr>
                                <w:t>La FIGO fait figure de chef de file dans de nombreuses activités de programme mondial et met plus particulièrement l’accent sur l’Afrique subsaharienne et l’Asie du Sud</w:t>
                              </w:r>
                              <w:r w:rsidRPr="004678EB">
                                <w:rPr>
                                  <w:sz w:val="20"/>
                                </w:rPr>
                                <w:noBreakHyphen/>
                                <w:t>Est. La FIGO entreprend des actions de plaidoyer d’envergure internationale, notamment en lien avec les objectifs de développement durable (ODD) relatifs à la santé reproductive, maternelle, néonatale, infantile et des adolescents et aux maladies non transmissibles (ODD 3). La FIGO travaille également à améliorer le statut des femmes et à leur permettre de participer activement pour exercer leurs droits sexuels et reproductifs, notamment en luttant contre les mutilations génitales féminines et les violences basées sur le genre (ODD 5).</w:t>
                              </w:r>
                            </w:p>
                            <w:p w14:paraId="12261776" w14:textId="606BA56B" w:rsidR="00A63E0D" w:rsidRPr="004678EB" w:rsidRDefault="00A63E0D" w:rsidP="00A63E0D">
                              <w:pPr>
                                <w:rPr>
                                  <w:sz w:val="20"/>
                                  <w:szCs w:val="20"/>
                                </w:rPr>
                              </w:pPr>
                              <w:r w:rsidRPr="004678EB">
                                <w:rPr>
                                  <w:sz w:val="20"/>
                                </w:rPr>
                                <w:t>Enfin, elle fournit des services d’éducation et de formation à ses sociétés membres et renforce les capacités de celles issues de pays à faible niveau de ressources, par le renforcement du leadership et des bonnes pratiques et par la promotion du dialogue sur les politiques.</w:t>
                              </w:r>
                            </w:p>
                            <w:p w14:paraId="5A5EC057" w14:textId="0759955A" w:rsidR="00A63E0D" w:rsidRPr="004678EB" w:rsidRDefault="00A63E0D" w:rsidP="00A63E0D">
                              <w:pPr>
                                <w:rPr>
                                  <w:sz w:val="20"/>
                                  <w:szCs w:val="20"/>
                                </w:rPr>
                              </w:pPr>
                              <w:r w:rsidRPr="004678EB">
                                <w:rPr>
                                  <w:sz w:val="20"/>
                                </w:rPr>
                                <w:t>La FIGO entretient des relations officielles avec l’Organisation mondiale de la santé et opère à titre d’organe consultatif auprès des Nations Unies.</w:t>
                              </w:r>
                            </w:p>
                            <w:p w14:paraId="0005A579" w14:textId="77777777" w:rsidR="0070788B" w:rsidRPr="004678EB" w:rsidRDefault="0070788B" w:rsidP="0070788B">
                              <w:pPr>
                                <w:spacing w:after="120"/>
                                <w:rPr>
                                  <w:b/>
                                  <w:bCs/>
                                  <w:color w:val="00AD86" w:themeColor="accent1"/>
                                  <w:sz w:val="21"/>
                                  <w:szCs w:val="22"/>
                                </w:rPr>
                              </w:pPr>
                              <w:r w:rsidRPr="004678EB">
                                <w:rPr>
                                  <w:b/>
                                  <w:color w:val="00AD86" w:themeColor="accent1"/>
                                  <w:sz w:val="21"/>
                                </w:rPr>
                                <w:t>À propos des termes que nous utilisons</w:t>
                              </w:r>
                            </w:p>
                            <w:p w14:paraId="73A9BA97" w14:textId="5DB5BC5A" w:rsidR="0070788B" w:rsidRPr="004678EB" w:rsidRDefault="0070788B" w:rsidP="0070788B">
                              <w:pPr>
                                <w:rPr>
                                  <w:sz w:val="20"/>
                                  <w:szCs w:val="20"/>
                                </w:rPr>
                              </w:pPr>
                              <w:r w:rsidRPr="004678EB">
                                <w:rPr>
                                  <w:sz w:val="20"/>
                                </w:rPr>
                                <w:t>Dans nos documents, nous utilisons souvent les termes « femme », « fille » et « femmes et filles ». Nous reconnaissons que toutes les personnes qui ont besoin d’un accès aux services de gynécologie</w:t>
                              </w:r>
                              <w:r w:rsidRPr="004678EB">
                                <w:rPr>
                                  <w:sz w:val="20"/>
                                </w:rPr>
                                <w:noBreakHyphen/>
                                <w:t>obstétrique ne s’identifient pas en tant que femme ou fille. Tout individu, quelle que soit son identité de genre, doit bénéficier d’un accès aux services et aux soins appropriés, inclusifs et respectueux.</w:t>
                              </w:r>
                            </w:p>
                            <w:p w14:paraId="5168366E" w14:textId="3EBAAAD8" w:rsidR="0070788B" w:rsidRPr="004678EB" w:rsidRDefault="0070788B" w:rsidP="0070788B">
                              <w:pPr>
                                <w:rPr>
                                  <w:sz w:val="20"/>
                                  <w:szCs w:val="20"/>
                                </w:rPr>
                              </w:pPr>
                              <w:r w:rsidRPr="004678EB">
                                <w:rPr>
                                  <w:sz w:val="20"/>
                                </w:rPr>
                                <w:t>Nous employons également le terme de « famille ». Le cas échéant, nous faisons référence à un groupe reconnu (qu’il s’agisse de liens du sang, de mariage, de partenariat, de concubinage ou d’adoption), dont les membres sont émotionnellement liés, et qui constitue une unité au sein de la société.</w:t>
                              </w:r>
                            </w:p>
                            <w:p w14:paraId="25FD003D" w14:textId="7EF38E5C" w:rsidR="0070788B" w:rsidRPr="004678EB" w:rsidRDefault="0070788B" w:rsidP="0070788B">
                              <w:pPr>
                                <w:rPr>
                                  <w:sz w:val="20"/>
                                  <w:szCs w:val="20"/>
                                </w:rPr>
                              </w:pPr>
                              <w:r w:rsidRPr="004678EB">
                                <w:rPr>
                                  <w:sz w:val="20"/>
                                </w:rPr>
                                <w:t xml:space="preserve">La FIGO admet que certains éléments de langage utilisés ne sont pas inclusifs en tant que tels. </w:t>
                              </w:r>
                              <w:r w:rsidRPr="004678EB">
                                <w:rPr>
                                  <w:sz w:val="20"/>
                                </w:rPr>
                                <w:br/>
                                <w:t>La FIGO analyse rigoureusement les mots et les expressions qu’elle emploie pour parler des personnes, de la santé, du bien-être et des droits, afin de démontrer son engagement à développer et à proposer des politiques, des programmes et des services inclusifs.</w:t>
                              </w:r>
                            </w:p>
                            <w:p w14:paraId="75FEFBAC" w14:textId="55C45CFF" w:rsidR="00A63E0D" w:rsidRPr="004678EB" w:rsidRDefault="00A63E0D" w:rsidP="00837E71">
                              <w:pPr>
                                <w:ind w:left="2120" w:hanging="2120"/>
                                <w:rPr>
                                  <w:b/>
                                  <w:bCs/>
                                  <w:color w:val="00AD86"/>
                                  <w:sz w:val="20"/>
                                  <w:szCs w:val="20"/>
                                </w:rPr>
                              </w:pPr>
                              <w:r w:rsidRPr="004678EB">
                                <w:rPr>
                                  <w:b/>
                                  <w:color w:val="00AD86"/>
                                  <w:sz w:val="20"/>
                                </w:rPr>
                                <w:t xml:space="preserve">Pour toute question </w:t>
                              </w:r>
                              <w:r w:rsidRPr="004678EB">
                                <w:rPr>
                                  <w:color w:val="00AD86"/>
                                  <w:sz w:val="20"/>
                                </w:rPr>
                                <w:tab/>
                              </w:r>
                              <w:r w:rsidRPr="004678EB">
                                <w:rPr>
                                  <w:color w:val="auto"/>
                                  <w:sz w:val="20"/>
                                </w:rPr>
                                <w:t>Rob Hucker, responsable de la communication et engagements</w:t>
                              </w:r>
                              <w:r w:rsidRPr="004678EB">
                                <w:rPr>
                                  <w:color w:val="auto"/>
                                  <w:sz w:val="20"/>
                                </w:rPr>
                                <w:br/>
                              </w:r>
                              <w:hyperlink r:id="rId18" w:history="1">
                                <w:r w:rsidRPr="004678EB">
                                  <w:rPr>
                                    <w:rStyle w:val="Hyperlink"/>
                                    <w:sz w:val="20"/>
                                  </w:rPr>
                                  <w:t>rob@figo.org</w:t>
                                </w:r>
                              </w:hyperlink>
                              <w:r w:rsidRPr="004678EB">
                                <w:rPr>
                                  <w:color w:val="00AD86"/>
                                  <w:sz w:val="20"/>
                                </w:rPr>
                                <w:t xml:space="preserve"> </w:t>
                              </w:r>
                              <w:r w:rsidRPr="004678EB">
                                <w:rPr>
                                  <w:color w:val="00AD86"/>
                                  <w:sz w:val="20"/>
                                </w:rPr>
                                <w:tab/>
                              </w:r>
                              <w:r w:rsidRPr="004678EB">
                                <w:rPr>
                                  <w:color w:val="auto"/>
                                  <w:sz w:val="20"/>
                                </w:rPr>
                                <w:t>+44 (0) 7383 025 731</w:t>
                              </w:r>
                            </w:p>
                            <w:p w14:paraId="5209FBAE" w14:textId="77777777" w:rsidR="00A63E0D" w:rsidRPr="004678EB" w:rsidRDefault="00A63E0D" w:rsidP="00A63E0D">
                              <w:pPr>
                                <w:ind w:left="1701" w:hanging="1701"/>
                                <w:rPr>
                                  <w:b/>
                                  <w:bCs/>
                                  <w:color w:val="00AD86"/>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6A43F05" id="Group 24" o:spid="_x0000_s1026" style="position:absolute;margin-left:-56.7pt;margin-top:23.3pt;width:595.25pt;height:541.05pt;z-index:251658240;mso-height-relative:margin" coordorigin=",-23016" coordsize="75596,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">
                <v:rect id="Rectangle 25" o:spid="_x0000_s1027" style="position:absolute;top:-23016;width:75596;height:61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" fillcolor="#e9f4ee [661]" stroked="f" strokeweight="1pt"/>
                <v:shapetype id="_x0000_t202" coordsize="21600,21600" o:spt="202" path="m,l,21600r21600,l21600,xe">
                  <v:stroke joinstyle="miter"/>
                  <v:path gradientshapeok="t" o:connecttype="rect"/>
                </v:shapetype>
                <v:shape id="Text Box 26" o:spid="_x0000_s1028" type="#_x0000_t202" style="position:absolute;left:7169;top:-22401;width:61265;height:595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26FA55AA" w14:textId="77777777" w:rsidR="00A63E0D" w:rsidRPr="004678EB" w:rsidRDefault="00A63E0D" w:rsidP="00A63E0D">
                        <w:pPr>
                          <w:spacing w:after="120"/>
                          <w:rPr>
                            <w:b/>
                            <w:bCs/>
                            <w:color w:val="00AD86" w:themeColor="accent1"/>
                            <w:sz w:val="21"/>
                            <w:szCs w:val="22"/>
                          </w:rPr>
                        </w:pPr>
                        <w:r w:rsidRPr="004678EB">
                          <w:rPr>
                            <w:b/>
                            <w:color w:val="00AD86" w:themeColor="accent1"/>
                            <w:sz w:val="21"/>
                          </w:rPr>
                          <w:t>À propos de la FIGO</w:t>
                        </w:r>
                      </w:p>
                      <w:p w14:paraId="4176A60E" w14:textId="77777777" w:rsidR="005639C5" w:rsidRPr="004678EB" w:rsidRDefault="00A63E0D" w:rsidP="00A63E0D">
                        <w:pPr>
                          <w:rPr>
                            <w:sz w:val="20"/>
                          </w:rPr>
                        </w:pPr>
                        <w:r w:rsidRPr="004678EB">
                          <w:rPr>
                            <w:sz w:val="20"/>
                          </w:rPr>
                          <w:t>La FIGO est une organisation professionnelle qui regroupe plus de 130 associations de gynécologie</w:t>
                        </w:r>
                        <w:r w:rsidRPr="004678EB">
                          <w:rPr>
                            <w:sz w:val="20"/>
                          </w:rPr>
                          <w:noBreakHyphen/>
                          <w:t>obstétrique du monde entier. La FIGO a pour vision d’offrir aux femmes du monde entier le niveau le plus élevé possible de santé et de bien-être sur le plan physique, psychologique, reproductif et sexuel tout au long de leur vie. Pour mettre en œuvre cette vision, le travail de la FIGO repose sur quatre piliers : l’éducation, l’application de recherches, la sensibilisation et le renforcement des compétences.</w:t>
                        </w:r>
                      </w:p>
                      <w:p w14:paraId="7B76A85E" w14:textId="02BEB910" w:rsidR="00A63E0D" w:rsidRPr="004678EB" w:rsidRDefault="00A63E0D" w:rsidP="005639C5">
                        <w:pPr>
                          <w:rPr>
                            <w:sz w:val="20"/>
                            <w:szCs w:val="20"/>
                          </w:rPr>
                        </w:pPr>
                        <w:r w:rsidRPr="004678EB">
                          <w:rPr>
                            <w:sz w:val="20"/>
                          </w:rPr>
                          <w:t>La FIGO fait figure de chef de file dans de nombreuses activités de programme mondial et met plus particulièrement l’accent sur l’Afrique subsaharienne et l’Asie du Sud</w:t>
                        </w:r>
                        <w:r w:rsidRPr="004678EB">
                          <w:rPr>
                            <w:sz w:val="20"/>
                          </w:rPr>
                          <w:noBreakHyphen/>
                          <w:t>Est. La FIGO entreprend des actions de plaidoyer d’envergure internationale, notamment en lien avec les objectifs de développement durable (ODD) relatifs à la santé reproductive, maternelle, néonatale, infantile et des adolescents et aux maladies non transmissibles (ODD 3). La FIGO travaille également à améliorer le statut des femmes et à leur permettre de participer activement pour exercer leurs droits sexuels et reproductifs, notamment en luttant contre les mutilations génitales féminines et les violences basées sur le genre (ODD 5).</w:t>
                        </w:r>
                      </w:p>
                      <w:p w14:paraId="12261776" w14:textId="606BA56B" w:rsidR="00A63E0D" w:rsidRPr="004678EB" w:rsidRDefault="00A63E0D" w:rsidP="00A63E0D">
                        <w:pPr>
                          <w:rPr>
                            <w:sz w:val="20"/>
                            <w:szCs w:val="20"/>
                          </w:rPr>
                        </w:pPr>
                        <w:r w:rsidRPr="004678EB">
                          <w:rPr>
                            <w:sz w:val="20"/>
                          </w:rPr>
                          <w:t>Enfin, elle fournit des services d’éducation et de formation à ses sociétés membres et renforce les capacités de celles issues de pays à faible niveau de ressources, par le renforcement du leadership et des bonnes pratiques et par la promotion du dialogue sur les politiques.</w:t>
                        </w:r>
                      </w:p>
                      <w:p w14:paraId="5A5EC057" w14:textId="0759955A" w:rsidR="00A63E0D" w:rsidRPr="004678EB" w:rsidRDefault="00A63E0D" w:rsidP="00A63E0D">
                        <w:pPr>
                          <w:rPr>
                            <w:sz w:val="20"/>
                            <w:szCs w:val="20"/>
                          </w:rPr>
                        </w:pPr>
                        <w:r w:rsidRPr="004678EB">
                          <w:rPr>
                            <w:sz w:val="20"/>
                          </w:rPr>
                          <w:t>La FIGO entretient des relations officielles avec l’Organisation mondiale de la santé et opère à titre d’organe consultatif auprès des Nations Unies.</w:t>
                        </w:r>
                      </w:p>
                      <w:p w14:paraId="0005A579" w14:textId="77777777" w:rsidR="0070788B" w:rsidRPr="004678EB" w:rsidRDefault="0070788B" w:rsidP="0070788B">
                        <w:pPr>
                          <w:spacing w:after="120"/>
                          <w:rPr>
                            <w:b/>
                            <w:bCs/>
                            <w:color w:val="00AD86" w:themeColor="accent1"/>
                            <w:sz w:val="21"/>
                            <w:szCs w:val="22"/>
                          </w:rPr>
                        </w:pPr>
                        <w:r w:rsidRPr="004678EB">
                          <w:rPr>
                            <w:b/>
                            <w:color w:val="00AD86" w:themeColor="accent1"/>
                            <w:sz w:val="21"/>
                          </w:rPr>
                          <w:t>À propos des termes que nous utilisons</w:t>
                        </w:r>
                      </w:p>
                      <w:p w14:paraId="73A9BA97" w14:textId="5DB5BC5A" w:rsidR="0070788B" w:rsidRPr="004678EB" w:rsidRDefault="0070788B" w:rsidP="0070788B">
                        <w:pPr>
                          <w:rPr>
                            <w:sz w:val="20"/>
                            <w:szCs w:val="20"/>
                          </w:rPr>
                        </w:pPr>
                        <w:r w:rsidRPr="004678EB">
                          <w:rPr>
                            <w:sz w:val="20"/>
                          </w:rPr>
                          <w:t>Dans nos documents, nous utilisons souvent les termes « femme », « fille » et « femmes et filles ». Nous reconnaissons que toutes les personnes qui ont besoin d’un accès aux services de gynécologie</w:t>
                        </w:r>
                        <w:r w:rsidRPr="004678EB">
                          <w:rPr>
                            <w:sz w:val="20"/>
                          </w:rPr>
                          <w:noBreakHyphen/>
                          <w:t>obstétrique ne s’identifient pas en tant que femme ou fille. Tout individu, quelle que soit son identité de genre, doit bénéficier d’un accès aux services et aux soins appropriés, inclusifs et respectueux.</w:t>
                        </w:r>
                      </w:p>
                      <w:p w14:paraId="5168366E" w14:textId="3EBAAAD8" w:rsidR="0070788B" w:rsidRPr="004678EB" w:rsidRDefault="0070788B" w:rsidP="0070788B">
                        <w:pPr>
                          <w:rPr>
                            <w:sz w:val="20"/>
                            <w:szCs w:val="20"/>
                          </w:rPr>
                        </w:pPr>
                        <w:r w:rsidRPr="004678EB">
                          <w:rPr>
                            <w:sz w:val="20"/>
                          </w:rPr>
                          <w:t>Nous employons également le terme de « famille ». Le cas échéant, nous faisons référence à un groupe reconnu (qu’il s’agisse de liens du sang, de mariage, de partenariat, de concubinage ou d’adoption), dont les membres sont émotionnellement liés, et qui constitue une unité au sein de la société.</w:t>
                        </w:r>
                      </w:p>
                      <w:p w14:paraId="25FD003D" w14:textId="7EF38E5C" w:rsidR="0070788B" w:rsidRPr="004678EB" w:rsidRDefault="0070788B" w:rsidP="0070788B">
                        <w:pPr>
                          <w:rPr>
                            <w:sz w:val="20"/>
                            <w:szCs w:val="20"/>
                          </w:rPr>
                        </w:pPr>
                        <w:r w:rsidRPr="004678EB">
                          <w:rPr>
                            <w:sz w:val="20"/>
                          </w:rPr>
                          <w:t xml:space="preserve">La FIGO admet que certains éléments de langage utilisés ne sont pas inclusifs en tant que tels. </w:t>
                        </w:r>
                        <w:r w:rsidRPr="004678EB">
                          <w:rPr>
                            <w:sz w:val="20"/>
                          </w:rPr>
                          <w:br/>
                          <w:t>La FIGO analyse rigoureusement les mots et les expressions qu’elle emploie pour parler des personnes, de la santé, du bien-être et des droits, afin de démontrer son engagement à développer et à proposer des politiques, des programmes et des services inclusifs.</w:t>
                        </w:r>
                      </w:p>
                      <w:p w14:paraId="75FEFBAC" w14:textId="55C45CFF" w:rsidR="00A63E0D" w:rsidRPr="004678EB" w:rsidRDefault="00A63E0D" w:rsidP="00837E71">
                        <w:pPr>
                          <w:ind w:left="2120" w:hanging="2120"/>
                          <w:rPr>
                            <w:b/>
                            <w:bCs/>
                            <w:color w:val="00AD86"/>
                            <w:sz w:val="20"/>
                            <w:szCs w:val="20"/>
                          </w:rPr>
                        </w:pPr>
                        <w:r w:rsidRPr="004678EB">
                          <w:rPr>
                            <w:b/>
                            <w:color w:val="00AD86"/>
                            <w:sz w:val="20"/>
                          </w:rPr>
                          <w:t xml:space="preserve">Pour toute question </w:t>
                        </w:r>
                        <w:r w:rsidRPr="004678EB">
                          <w:rPr>
                            <w:color w:val="00AD86"/>
                            <w:sz w:val="20"/>
                          </w:rPr>
                          <w:tab/>
                        </w:r>
                        <w:r w:rsidRPr="004678EB">
                          <w:rPr>
                            <w:color w:val="auto"/>
                            <w:sz w:val="20"/>
                          </w:rPr>
                          <w:t>Rob Hucker, responsable de la communication et engagements</w:t>
                        </w:r>
                        <w:r w:rsidRPr="004678EB">
                          <w:rPr>
                            <w:color w:val="auto"/>
                            <w:sz w:val="20"/>
                          </w:rPr>
                          <w:br/>
                        </w:r>
                        <w:hyperlink r:id="rId19" w:history="1">
                          <w:r w:rsidRPr="004678EB">
                            <w:rPr>
                              <w:rStyle w:val="Hyperlink"/>
                              <w:sz w:val="20"/>
                            </w:rPr>
                            <w:t>rob@figo.org</w:t>
                          </w:r>
                        </w:hyperlink>
                        <w:r w:rsidRPr="004678EB">
                          <w:rPr>
                            <w:color w:val="00AD86"/>
                            <w:sz w:val="20"/>
                          </w:rPr>
                          <w:t xml:space="preserve"> </w:t>
                        </w:r>
                        <w:r w:rsidRPr="004678EB">
                          <w:rPr>
                            <w:color w:val="00AD86"/>
                            <w:sz w:val="20"/>
                          </w:rPr>
                          <w:tab/>
                        </w:r>
                        <w:r w:rsidRPr="004678EB">
                          <w:rPr>
                            <w:color w:val="auto"/>
                            <w:sz w:val="20"/>
                          </w:rPr>
                          <w:t>+44 (0) 7383 025 731</w:t>
                        </w:r>
                      </w:p>
                      <w:p w14:paraId="5209FBAE" w14:textId="77777777" w:rsidR="00A63E0D" w:rsidRPr="004678EB" w:rsidRDefault="00A63E0D" w:rsidP="00A63E0D">
                        <w:pPr>
                          <w:ind w:left="1701" w:hanging="1701"/>
                          <w:rPr>
                            <w:b/>
                            <w:bCs/>
                            <w:color w:val="00AD86"/>
                            <w:sz w:val="20"/>
                            <w:szCs w:val="20"/>
                          </w:rPr>
                        </w:pPr>
                      </w:p>
                    </w:txbxContent>
                  </v:textbox>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47C4A720" wp14:editId="6BD61A38">
                <wp:simplePos x="0" y="0"/>
                <wp:positionH relativeFrom="column">
                  <wp:posOffset>-720090</wp:posOffset>
                </wp:positionH>
                <wp:positionV relativeFrom="paragraph">
                  <wp:posOffset>7309685</wp:posOffset>
                </wp:positionV>
                <wp:extent cx="7559675" cy="1230496"/>
                <wp:effectExtent l="0" t="0" r="0" b="1905"/>
                <wp:wrapTopAndBottom/>
                <wp:docPr id="27" name="Group 27"/>
                <wp:cNvGraphicFramePr/>
                <a:graphic xmlns:a="http://schemas.openxmlformats.org/drawingml/2006/main">
                  <a:graphicData uri="http://schemas.microsoft.com/office/word/2010/wordprocessingGroup">
                    <wpg:wgp>
                      <wpg:cNvGrpSpPr/>
                      <wpg:grpSpPr>
                        <a:xfrm>
                          <a:off x="0" y="0"/>
                          <a:ext cx="7559675" cy="1230496"/>
                          <a:chOff x="0" y="0"/>
                          <a:chExt cx="7559675" cy="1229710"/>
                        </a:xfrm>
                      </wpg:grpSpPr>
                      <wps:wsp>
                        <wps:cNvPr id="28" name="Rectangle 28"/>
                        <wps:cNvSpPr/>
                        <wps:spPr>
                          <a:xfrm>
                            <a:off x="0" y="0"/>
                            <a:ext cx="7559675" cy="122971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714703" y="157655"/>
                            <a:ext cx="6126480" cy="977462"/>
                          </a:xfrm>
                          <a:prstGeom prst="rect">
                            <a:avLst/>
                          </a:prstGeom>
                          <a:noFill/>
                          <a:ln w="6350">
                            <a:noFill/>
                          </a:ln>
                        </wps:spPr>
                        <wps:txbx>
                          <w:txbxContent>
                            <w:p w14:paraId="4E5D5B2F" w14:textId="77777777" w:rsidR="00A63E0D" w:rsidRPr="004678EB" w:rsidRDefault="00A63E0D" w:rsidP="00A63E0D">
                              <w:pPr>
                                <w:spacing w:after="120"/>
                                <w:rPr>
                                  <w:b/>
                                  <w:bCs/>
                                  <w:color w:val="00AD86" w:themeColor="accent1"/>
                                  <w:sz w:val="21"/>
                                  <w:szCs w:val="22"/>
                                </w:rPr>
                              </w:pPr>
                              <w:r w:rsidRPr="004678EB">
                                <w:rPr>
                                  <w:b/>
                                  <w:color w:val="00AD86" w:themeColor="accent1"/>
                                  <w:sz w:val="21"/>
                                </w:rPr>
                                <w:t>Référence de la présente déclaration</w:t>
                              </w:r>
                            </w:p>
                            <w:p w14:paraId="712534B8" w14:textId="715BBD08" w:rsidR="00F63CEF" w:rsidRPr="004678EB" w:rsidRDefault="00A63E0D" w:rsidP="00F63CEF">
                              <w:pPr>
                                <w:rPr>
                                  <w:color w:val="00B084"/>
                                  <w:spacing w:val="-2"/>
                                  <w:sz w:val="20"/>
                                  <w:szCs w:val="20"/>
                                  <w:u w:val="single"/>
                                </w:rPr>
                              </w:pPr>
                              <w:r w:rsidRPr="004678EB">
                                <w:rPr>
                                  <w:color w:val="181617" w:themeColor="text2"/>
                                  <w:sz w:val="20"/>
                                </w:rPr>
                                <w:t xml:space="preserve">Fédération Internationale de Gynécologie et d’Obstétrique. </w:t>
                              </w:r>
                              <w:r w:rsidR="00F63CEF" w:rsidRPr="004678EB">
                                <w:rPr>
                                  <w:i/>
                                  <w:color w:val="181617" w:themeColor="text2"/>
                                  <w:sz w:val="20"/>
                                </w:rPr>
                                <w:fldChar w:fldCharType="begin"/>
                              </w:r>
                              <w:r w:rsidR="00F63CEF" w:rsidRPr="004678EB">
                                <w:rPr>
                                  <w:i/>
                                  <w:color w:val="181617" w:themeColor="text2"/>
                                  <w:sz w:val="20"/>
                                </w:rPr>
                                <w:instrText xml:space="preserve"> TITLE  \* MERGEFORMAT </w:instrText>
                              </w:r>
                              <w:r w:rsidR="00F63CEF" w:rsidRPr="004678EB">
                                <w:rPr>
                                  <w:i/>
                                  <w:color w:val="181617" w:themeColor="text2"/>
                                  <w:sz w:val="20"/>
                                </w:rPr>
                                <w:fldChar w:fldCharType="separate"/>
                              </w:r>
                              <w:r w:rsidR="004678EB">
                                <w:rPr>
                                  <w:i/>
                                  <w:color w:val="181617" w:themeColor="text2"/>
                                  <w:sz w:val="20"/>
                                </w:rPr>
                                <w:t>Déclaration de la FIGO – Atonie utérine et utérotoniques dans les hémorragies du post-partum</w:t>
                              </w:r>
                              <w:r w:rsidR="00F63CEF" w:rsidRPr="004678EB">
                                <w:rPr>
                                  <w:i/>
                                  <w:color w:val="181617" w:themeColor="text2"/>
                                  <w:sz w:val="20"/>
                                </w:rPr>
                                <w:fldChar w:fldCharType="end"/>
                              </w:r>
                              <w:r w:rsidRPr="004678EB">
                                <w:rPr>
                                  <w:color w:val="181617" w:themeColor="text2"/>
                                  <w:spacing w:val="-2"/>
                                  <w:sz w:val="20"/>
                                </w:rPr>
                                <w:t>. 2023.</w:t>
                              </w:r>
                              <w:r w:rsidRPr="004678EB">
                                <w:rPr>
                                  <w:color w:val="181617" w:themeColor="text2"/>
                                  <w:sz w:val="20"/>
                                </w:rPr>
                                <w:t xml:space="preserve"> Disponible sur :</w:t>
                              </w:r>
                              <w:r w:rsidRPr="004678EB">
                                <w:rPr>
                                  <w:color w:val="181617" w:themeColor="text2"/>
                                  <w:spacing w:val="-2"/>
                                  <w:sz w:val="20"/>
                                </w:rPr>
                                <w:t xml:space="preserve"> </w:t>
                              </w:r>
                              <w:hyperlink r:id="rId20" w:history="1">
                                <w:r w:rsidRPr="004678EB">
                                  <w:rPr>
                                    <w:rStyle w:val="Hyperlink"/>
                                    <w:sz w:val="20"/>
                                  </w:rPr>
                                  <w:t>www.figo.org/resources/figo-statements/uterine-atony-and-uterotonics-postpartum-haemorrhage</w:t>
                                </w:r>
                              </w:hyperlink>
                            </w:p>
                            <w:p w14:paraId="6E800226" w14:textId="3B646F08" w:rsidR="00A63E0D" w:rsidRPr="004678EB" w:rsidRDefault="00A63E0D" w:rsidP="00A63E0D">
                              <w:pPr>
                                <w:rPr>
                                  <w:color w:val="00B084"/>
                                  <w:spacing w:val="-2"/>
                                  <w:sz w:val="20"/>
                                  <w:szCs w:val="20"/>
                                  <w:u w:val="single"/>
                                </w:rPr>
                              </w:pPr>
                            </w:p>
                            <w:p w14:paraId="3FDF511C" w14:textId="77777777" w:rsidR="00A63E0D" w:rsidRPr="004678EB" w:rsidRDefault="00A63E0D" w:rsidP="00A63E0D">
                              <w:pPr>
                                <w:rPr>
                                  <w:color w:val="00B084"/>
                                  <w:spacing w:val="-2"/>
                                  <w:sz w:val="20"/>
                                  <w:szCs w:val="20"/>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C4A720" id="Group 27" o:spid="_x0000_s1029" style="position:absolute;margin-left:-56.7pt;margin-top:575.55pt;width:595.25pt;height:96.9pt;z-index:251659264" coordsize="75596,1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">
                <v:rect id="Rectangle 28" o:spid="_x0000_s1030" style="position:absolute;width:75596;height:12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" fillcolor="#e9f4ee [661]" stroked="f" strokeweight="1pt"/>
                <v:shape id="Text Box 29" o:spid="_x0000_s1031" type="#_x0000_t202" style="position:absolute;left:7147;top:1576;width:61264;height:9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4E5D5B2F" w14:textId="77777777" w:rsidR="00A63E0D" w:rsidRPr="004678EB" w:rsidRDefault="00A63E0D" w:rsidP="00A63E0D">
                        <w:pPr>
                          <w:spacing w:after="120"/>
                          <w:rPr>
                            <w:b/>
                            <w:bCs/>
                            <w:color w:val="00AD86" w:themeColor="accent1"/>
                            <w:sz w:val="21"/>
                            <w:szCs w:val="22"/>
                          </w:rPr>
                        </w:pPr>
                        <w:r w:rsidRPr="004678EB">
                          <w:rPr>
                            <w:b/>
                            <w:color w:val="00AD86" w:themeColor="accent1"/>
                            <w:sz w:val="21"/>
                          </w:rPr>
                          <w:t>Référence de la présente déclaration</w:t>
                        </w:r>
                      </w:p>
                      <w:p w14:paraId="712534B8" w14:textId="715BBD08" w:rsidR="00F63CEF" w:rsidRPr="004678EB" w:rsidRDefault="00A63E0D" w:rsidP="00F63CEF">
                        <w:pPr>
                          <w:rPr>
                            <w:color w:val="00B084"/>
                            <w:spacing w:val="-2"/>
                            <w:sz w:val="20"/>
                            <w:szCs w:val="20"/>
                            <w:u w:val="single"/>
                          </w:rPr>
                        </w:pPr>
                        <w:r w:rsidRPr="004678EB">
                          <w:rPr>
                            <w:color w:val="181617" w:themeColor="text2"/>
                            <w:sz w:val="20"/>
                          </w:rPr>
                          <w:t xml:space="preserve">Fédération Internationale de Gynécologie et d’Obstétrique. </w:t>
                        </w:r>
                        <w:r w:rsidR="00F63CEF" w:rsidRPr="004678EB">
                          <w:rPr>
                            <w:i/>
                            <w:color w:val="181617" w:themeColor="text2"/>
                            <w:sz w:val="20"/>
                          </w:rPr>
                          <w:fldChar w:fldCharType="begin"/>
                        </w:r>
                        <w:r w:rsidR="00F63CEF" w:rsidRPr="004678EB">
                          <w:rPr>
                            <w:i/>
                            <w:color w:val="181617" w:themeColor="text2"/>
                            <w:sz w:val="20"/>
                          </w:rPr>
                          <w:instrText xml:space="preserve"> TITLE  \* MERGEFORMAT </w:instrText>
                        </w:r>
                        <w:r w:rsidR="00F63CEF" w:rsidRPr="004678EB">
                          <w:rPr>
                            <w:i/>
                            <w:color w:val="181617" w:themeColor="text2"/>
                            <w:sz w:val="20"/>
                          </w:rPr>
                          <w:fldChar w:fldCharType="separate"/>
                        </w:r>
                        <w:r w:rsidR="004678EB">
                          <w:rPr>
                            <w:i/>
                            <w:color w:val="181617" w:themeColor="text2"/>
                            <w:sz w:val="20"/>
                          </w:rPr>
                          <w:t>Déclaration de la FIGO – Atonie utérine et utérotoniques dans les hémorragies du post-partum</w:t>
                        </w:r>
                        <w:r w:rsidR="00F63CEF" w:rsidRPr="004678EB">
                          <w:rPr>
                            <w:i/>
                            <w:color w:val="181617" w:themeColor="text2"/>
                            <w:sz w:val="20"/>
                          </w:rPr>
                          <w:fldChar w:fldCharType="end"/>
                        </w:r>
                        <w:r w:rsidRPr="004678EB">
                          <w:rPr>
                            <w:color w:val="181617" w:themeColor="text2"/>
                            <w:spacing w:val="-2"/>
                            <w:sz w:val="20"/>
                          </w:rPr>
                          <w:t>. 2023.</w:t>
                        </w:r>
                        <w:r w:rsidRPr="004678EB">
                          <w:rPr>
                            <w:color w:val="181617" w:themeColor="text2"/>
                            <w:sz w:val="20"/>
                          </w:rPr>
                          <w:t xml:space="preserve"> Disponible sur :</w:t>
                        </w:r>
                        <w:r w:rsidRPr="004678EB">
                          <w:rPr>
                            <w:color w:val="181617" w:themeColor="text2"/>
                            <w:spacing w:val="-2"/>
                            <w:sz w:val="20"/>
                          </w:rPr>
                          <w:t xml:space="preserve"> </w:t>
                        </w:r>
                        <w:hyperlink r:id="rId21" w:history="1">
                          <w:r w:rsidRPr="004678EB">
                            <w:rPr>
                              <w:rStyle w:val="Hyperlink"/>
                              <w:sz w:val="20"/>
                            </w:rPr>
                            <w:t>www.figo.org/resources/figo-statements/uterine-atony-and-uterotonics-postpartum-haemorrhage</w:t>
                          </w:r>
                        </w:hyperlink>
                      </w:p>
                      <w:p w14:paraId="6E800226" w14:textId="3B646F08" w:rsidR="00A63E0D" w:rsidRPr="004678EB" w:rsidRDefault="00A63E0D" w:rsidP="00A63E0D">
                        <w:pPr>
                          <w:rPr>
                            <w:color w:val="00B084"/>
                            <w:spacing w:val="-2"/>
                            <w:sz w:val="20"/>
                            <w:szCs w:val="20"/>
                            <w:u w:val="single"/>
                          </w:rPr>
                        </w:pPr>
                      </w:p>
                      <w:p w14:paraId="3FDF511C" w14:textId="77777777" w:rsidR="00A63E0D" w:rsidRPr="004678EB" w:rsidRDefault="00A63E0D" w:rsidP="00A63E0D">
                        <w:pPr>
                          <w:rPr>
                            <w:color w:val="00B084"/>
                            <w:spacing w:val="-2"/>
                            <w:sz w:val="20"/>
                            <w:szCs w:val="20"/>
                            <w:u w:val="single"/>
                          </w:rPr>
                        </w:pPr>
                      </w:p>
                    </w:txbxContent>
                  </v:textbox>
                </v:shape>
                <w10:wrap type="topAndBottom"/>
              </v:group>
            </w:pict>
          </mc:Fallback>
        </mc:AlternateContent>
      </w:r>
    </w:p>
    <w:sectPr w:rsidR="00626985" w:rsidRPr="003614E7" w:rsidSect="004420B8">
      <w:endnotePr>
        <w:numFmt w:val="decimal"/>
      </w:endnotePr>
      <w:pgSz w:w="11906" w:h="16838"/>
      <w:pgMar w:top="1701" w:right="1134" w:bottom="851" w:left="1134" w:header="1418" w:footer="567" w:gutter="0"/>
      <w:cols w:space="720"/>
      <w:formProt w:val="0"/>
      <w:docGrid w:linePitch="29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4E1F" w14:textId="77777777" w:rsidR="003E73A1" w:rsidRPr="009C6B7D" w:rsidRDefault="003E73A1" w:rsidP="009C6B7D">
      <w:pPr>
        <w:spacing w:after="0" w:line="240" w:lineRule="auto"/>
        <w:rPr>
          <w:sz w:val="20"/>
          <w:szCs w:val="21"/>
        </w:rPr>
      </w:pPr>
    </w:p>
  </w:endnote>
  <w:endnote w:type="continuationSeparator" w:id="0">
    <w:p w14:paraId="16CF3949" w14:textId="77777777" w:rsidR="003E73A1" w:rsidRPr="004E52BD" w:rsidRDefault="003E73A1" w:rsidP="00F577FF">
      <w:pPr>
        <w:rPr>
          <w:sz w:val="2"/>
          <w:szCs w:val="2"/>
        </w:rPr>
      </w:pPr>
    </w:p>
  </w:endnote>
  <w:endnote w:type="continuationNotice" w:id="1">
    <w:p w14:paraId="6181E348" w14:textId="77777777" w:rsidR="003E73A1" w:rsidRDefault="003E7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D7F2" w14:textId="77777777" w:rsidR="00FA473C" w:rsidRDefault="00FA473C">
    <w:pPr>
      <w:pStyle w:val="Footer"/>
    </w:pPr>
  </w:p>
  <w:p w14:paraId="2FFE3F33" w14:textId="77777777" w:rsidR="00F57172" w:rsidRDefault="00F57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2C01" w14:textId="77777777" w:rsidR="007E0242" w:rsidRDefault="007E0242" w:rsidP="007E0242">
    <w:pPr>
      <w:pStyle w:val="Footer"/>
      <w:spacing w:after="0"/>
    </w:pPr>
    <w:r>
      <w:rPr>
        <w:noProof/>
      </w:rPr>
      <mc:AlternateContent>
        <mc:Choice Requires="wps">
          <w:drawing>
            <wp:anchor distT="0" distB="0" distL="0" distR="0" simplePos="0" relativeHeight="251677702" behindDoc="1" locked="0" layoutInCell="1" allowOverlap="1" wp14:anchorId="6D45462D" wp14:editId="15A22343">
              <wp:simplePos x="0" y="0"/>
              <wp:positionH relativeFrom="column">
                <wp:posOffset>-741045</wp:posOffset>
              </wp:positionH>
              <wp:positionV relativeFrom="margin">
                <wp:posOffset>8782685</wp:posOffset>
              </wp:positionV>
              <wp:extent cx="7607935" cy="665026"/>
              <wp:effectExtent l="0" t="0" r="0" b="0"/>
              <wp:wrapNone/>
              <wp:docPr id="5" name="Shape1"/>
              <wp:cNvGraphicFramePr/>
              <a:graphic xmlns:a="http://schemas.openxmlformats.org/drawingml/2006/main">
                <a:graphicData uri="http://schemas.microsoft.com/office/word/2010/wordprocessingShape">
                  <wps:wsp>
                    <wps:cNvSpPr/>
                    <wps:spPr>
                      <a:xfrm>
                        <a:off x="0" y="0"/>
                        <a:ext cx="7607935" cy="665026"/>
                      </a:xfrm>
                      <a:prstGeom prst="rect">
                        <a:avLst/>
                      </a:prstGeom>
                      <a:solidFill>
                        <a:schemeClr val="accent1"/>
                      </a:solidFill>
                      <a:ln>
                        <a:noFill/>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w14:anchorId="5C484C8E" id="Shape1" o:spid="_x0000_s1026" style="position:absolute;margin-left:-58.35pt;margin-top:691.55pt;width:599.05pt;height:52.35pt;z-index:-251638778;visibility:visible;mso-wrap-style:square;mso-height-percent:0;mso-wrap-distance-left:0;mso-wrap-distance-top:0;mso-wrap-distance-right:0;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" fillcolor="#00ad86 [3204]" stroked="f">
              <w10:wrap anchory="margin"/>
            </v:rect>
          </w:pict>
        </mc:Fallback>
      </mc:AlternateContent>
    </w:r>
    <w:r>
      <w:br/>
    </w:r>
  </w:p>
  <w:p w14:paraId="513110CF" w14:textId="77777777" w:rsidR="007E0242" w:rsidRDefault="007E0242" w:rsidP="007E0242">
    <w:pPr>
      <w:pStyle w:val="Footer"/>
      <w:spacing w:after="0"/>
    </w:pPr>
    <w:r>
      <w:rPr>
        <w:noProof/>
      </w:rPr>
      <mc:AlternateContent>
        <mc:Choice Requires="wps">
          <w:drawing>
            <wp:anchor distT="0" distB="0" distL="0" distR="0" simplePos="0" relativeHeight="251678726" behindDoc="1" locked="0" layoutInCell="1" allowOverlap="1" wp14:anchorId="082F7F02" wp14:editId="21283603">
              <wp:simplePos x="0" y="0"/>
              <wp:positionH relativeFrom="margin">
                <wp:posOffset>-150495</wp:posOffset>
              </wp:positionH>
              <wp:positionV relativeFrom="paragraph">
                <wp:posOffset>95613</wp:posOffset>
              </wp:positionV>
              <wp:extent cx="6418800" cy="190800"/>
              <wp:effectExtent l="0" t="0" r="7620" b="0"/>
              <wp:wrapNone/>
              <wp:docPr id="6" name="Shape2"/>
              <wp:cNvGraphicFramePr/>
              <a:graphic xmlns:a="http://schemas.openxmlformats.org/drawingml/2006/main">
                <a:graphicData uri="http://schemas.microsoft.com/office/word/2010/wordprocessingShape">
                  <wps:wsp>
                    <wps:cNvSpPr/>
                    <wps:spPr>
                      <a:xfrm>
                        <a:off x="0" y="0"/>
                        <a:ext cx="6418800" cy="190800"/>
                      </a:xfrm>
                      <a:prstGeom prst="rect">
                        <a:avLst/>
                      </a:prstGeom>
                      <a:noFill/>
                      <a:ln>
                        <a:noFill/>
                      </a:ln>
                    </wps:spPr>
                    <wps:style>
                      <a:lnRef idx="0">
                        <a:scrgbClr r="0" g="0" b="0"/>
                      </a:lnRef>
                      <a:fillRef idx="0">
                        <a:scrgbClr r="0" g="0" b="0"/>
                      </a:fillRef>
                      <a:effectRef idx="0">
                        <a:scrgbClr r="0" g="0" b="0"/>
                      </a:effectRef>
                      <a:fontRef idx="minor"/>
                    </wps:style>
                    <wps:txbx>
                      <w:txbxContent>
                        <w:p w14:paraId="4DE7A613" w14:textId="63099934" w:rsidR="007E0242" w:rsidRPr="004678EB" w:rsidRDefault="007E0242" w:rsidP="007E0242">
                          <w:pPr>
                            <w:pStyle w:val="FrameContents"/>
                            <w:rPr>
                              <w:sz w:val="24"/>
                              <w:szCs w:val="28"/>
                            </w:rPr>
                          </w:pPr>
                          <w:r w:rsidRPr="004678EB">
                            <w:rPr>
                              <w:sz w:val="24"/>
                            </w:rPr>
                            <w:t>Fédération Internationale de Gynécologie et d’Obstétrique</w:t>
                          </w:r>
                          <w:r w:rsidRPr="004678EB">
                            <w:rPr>
                              <w:color w:val="FFFFFF" w:themeColor="background1"/>
                              <w:sz w:val="24"/>
                            </w:rPr>
                            <w:tab/>
                            <w:t xml:space="preserve"> www.figo.org / @FIGOHQ</w:t>
                          </w:r>
                        </w:p>
                        <w:p w14:paraId="4ADB034A" w14:textId="77777777" w:rsidR="007E0242" w:rsidRPr="004678EB" w:rsidRDefault="007E0242" w:rsidP="007E0242">
                          <w:pPr>
                            <w:pStyle w:val="FrameContents"/>
                            <w:rPr>
                              <w:sz w:val="24"/>
                              <w:szCs w:val="28"/>
                            </w:rPr>
                          </w:pP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82F7F02" id="Shape2" o:spid="_x0000_s1033" style="position:absolute;margin-left:-11.85pt;margin-top:7.55pt;width:505.4pt;height:15pt;z-index:-25163775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" filled="f" stroked="f">
              <v:textbox inset="0,0,0,0">
                <w:txbxContent>
                  <w:p w14:paraId="4DE7A613" w14:textId="63099934" w:rsidR="007E0242" w:rsidRPr="004678EB" w:rsidRDefault="007E0242" w:rsidP="007E0242">
                    <w:pPr>
                      <w:pStyle w:val="FrameContents"/>
                      <w:rPr>
                        <w:sz w:val="24"/>
                        <w:szCs w:val="28"/>
                      </w:rPr>
                    </w:pPr>
                    <w:r w:rsidRPr="004678EB">
                      <w:rPr>
                        <w:sz w:val="24"/>
                      </w:rPr>
                      <w:t>Fédération Internationale de Gynécologie et d’Obstétrique</w:t>
                    </w:r>
                    <w:r w:rsidRPr="004678EB">
                      <w:rPr>
                        <w:color w:val="FFFFFF" w:themeColor="background1"/>
                        <w:sz w:val="24"/>
                      </w:rPr>
                      <w:tab/>
                      <w:t xml:space="preserve"> www.figo.org / @FIGOHQ</w:t>
                    </w:r>
                  </w:p>
                  <w:p w14:paraId="4ADB034A" w14:textId="77777777" w:rsidR="007E0242" w:rsidRPr="004678EB" w:rsidRDefault="007E0242" w:rsidP="007E0242">
                    <w:pPr>
                      <w:pStyle w:val="FrameContents"/>
                      <w:rPr>
                        <w:sz w:val="24"/>
                        <w:szCs w:val="28"/>
                      </w:rP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806A" w14:textId="77777777" w:rsidR="00FA473C" w:rsidRDefault="00FA473C">
    <w:pPr>
      <w:pStyle w:val="Footer"/>
    </w:pPr>
  </w:p>
  <w:p w14:paraId="14D453CD" w14:textId="77777777" w:rsidR="00F57172" w:rsidRDefault="00F57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B359" w14:textId="77777777" w:rsidR="003E73A1" w:rsidRDefault="003E73A1" w:rsidP="00F577FF">
      <w:r>
        <w:separator/>
      </w:r>
    </w:p>
  </w:footnote>
  <w:footnote w:type="continuationSeparator" w:id="0">
    <w:p w14:paraId="6ABC12B2" w14:textId="77777777" w:rsidR="003E73A1" w:rsidRDefault="003E73A1" w:rsidP="00F577FF">
      <w:r>
        <w:continuationSeparator/>
      </w:r>
    </w:p>
  </w:footnote>
  <w:footnote w:type="continuationNotice" w:id="1">
    <w:p w14:paraId="6CA72746" w14:textId="77777777" w:rsidR="003E73A1" w:rsidRDefault="003E7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7CA6" w14:textId="77777777" w:rsidR="00FA473C" w:rsidRDefault="00FA473C"/>
  <w:p w14:paraId="0F0FAD92" w14:textId="77777777" w:rsidR="00F57172" w:rsidRDefault="00F571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C4CA" w14:textId="3025091C" w:rsidR="007E0242" w:rsidRDefault="00666CEF" w:rsidP="005D0E60">
    <w:pPr>
      <w:pStyle w:val="Index"/>
    </w:pPr>
    <w:r>
      <w:drawing>
        <wp:anchor distT="0" distB="0" distL="114300" distR="114300" simplePos="0" relativeHeight="251670533" behindDoc="0" locked="0" layoutInCell="1" allowOverlap="1" wp14:anchorId="2938304E" wp14:editId="78E2CED0">
          <wp:simplePos x="0" y="0"/>
          <wp:positionH relativeFrom="column">
            <wp:posOffset>4657453</wp:posOffset>
          </wp:positionH>
          <wp:positionV relativeFrom="paragraph">
            <wp:posOffset>-780687</wp:posOffset>
          </wp:positionV>
          <wp:extent cx="1594503" cy="79883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151" cy="800157"/>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182880" distB="182880" distL="182880" distR="182880" simplePos="0" relativeHeight="251674630" behindDoc="0" locked="0" layoutInCell="1" allowOverlap="1" wp14:anchorId="24B1DD10" wp14:editId="17DB4147">
              <wp:simplePos x="0" y="0"/>
              <wp:positionH relativeFrom="column">
                <wp:posOffset>-123825</wp:posOffset>
              </wp:positionH>
              <wp:positionV relativeFrom="paragraph">
                <wp:posOffset>-535940</wp:posOffset>
              </wp:positionV>
              <wp:extent cx="3786505" cy="67246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86505" cy="672465"/>
                      </a:xfrm>
                      <a:prstGeom prst="rect">
                        <a:avLst/>
                      </a:prstGeom>
                      <a:noFill/>
                      <a:ln w="6350">
                        <a:noFill/>
                      </a:ln>
                    </wps:spPr>
                    <wps:txbx>
                      <w:txbxContent>
                        <w:p w14:paraId="1F8D6F00" w14:textId="77777777" w:rsidR="007E0242" w:rsidRPr="004678EB" w:rsidRDefault="007E0242" w:rsidP="00260C78">
                          <w:pPr>
                            <w:spacing w:after="0"/>
                            <w:rPr>
                              <w:b/>
                              <w:color w:val="00AD86"/>
                              <w:sz w:val="36"/>
                              <w:szCs w:val="36"/>
                            </w:rPr>
                          </w:pPr>
                          <w:r w:rsidRPr="004678EB">
                            <w:rPr>
                              <w:b/>
                              <w:color w:val="00AD86"/>
                              <w:sz w:val="36"/>
                            </w:rPr>
                            <w:t>Déclaration de la FIGO</w:t>
                          </w:r>
                        </w:p>
                        <w:p w14:paraId="0FE8049B" w14:textId="4FCC544B" w:rsidR="007E0242" w:rsidRPr="004678EB" w:rsidRDefault="00D33784" w:rsidP="00260C78">
                          <w:pPr>
                            <w:spacing w:after="0"/>
                            <w:rPr>
                              <w:color w:val="00AD86"/>
                              <w:sz w:val="24"/>
                            </w:rPr>
                          </w:pPr>
                          <w:r w:rsidRPr="004678EB">
                            <w:t>Octobre 2023</w:t>
                          </w:r>
                        </w:p>
                        <w:p w14:paraId="53056B39" w14:textId="77777777" w:rsidR="007E0242" w:rsidRPr="004678EB" w:rsidRDefault="007E0242" w:rsidP="005D0E60">
                          <w:pPr>
                            <w:pStyle w:val="Index"/>
                            <w:rPr>
                              <w:color w:val="00AD86"/>
                            </w:rPr>
                          </w:pPr>
                        </w:p>
                        <w:p w14:paraId="11EF5D66" w14:textId="77777777" w:rsidR="007E0242" w:rsidRPr="004678EB" w:rsidRDefault="007E0242" w:rsidP="005D0E60">
                          <w:pPr>
                            <w:pStyle w:val="Index"/>
                            <w:rPr>
                              <w:color w:val="00AD8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B1DD10" id="_x0000_t202" coordsize="21600,21600" o:spt="202" path="m,l,21600r21600,l21600,xe">
              <v:stroke joinstyle="miter"/>
              <v:path gradientshapeok="t" o:connecttype="rect"/>
            </v:shapetype>
            <v:shape id="Text Box 17" o:spid="_x0000_s1032" type="#_x0000_t202" style="position:absolute;margin-left:-9.75pt;margin-top:-42.2pt;width:298.15pt;height:52.95pt;z-index:251674630;visibility:visible;mso-wrap-style:square;mso-height-percent:0;mso-wrap-distance-left:14.4pt;mso-wrap-distance-top:14.4pt;mso-wrap-distance-right:14.4pt;mso-wrap-distance-bottom:14.4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" filled="f" stroked="f" strokeweight=".5pt">
              <v:textbox>
                <w:txbxContent>
                  <w:p w14:paraId="1F8D6F00" w14:textId="77777777" w:rsidR="007E0242" w:rsidRPr="004678EB" w:rsidRDefault="007E0242" w:rsidP="00260C78">
                    <w:pPr>
                      <w:spacing w:after="0"/>
                      <w:rPr>
                        <w:b/>
                        <w:color w:val="00AD86"/>
                        <w:sz w:val="36"/>
                        <w:szCs w:val="36"/>
                      </w:rPr>
                    </w:pPr>
                    <w:r w:rsidRPr="004678EB">
                      <w:rPr>
                        <w:b/>
                        <w:color w:val="00AD86"/>
                        <w:sz w:val="36"/>
                      </w:rPr>
                      <w:t>Déclaration de la FIGO</w:t>
                    </w:r>
                  </w:p>
                  <w:p w14:paraId="0FE8049B" w14:textId="4FCC544B" w:rsidR="007E0242" w:rsidRPr="004678EB" w:rsidRDefault="00D33784" w:rsidP="00260C78">
                    <w:pPr>
                      <w:spacing w:after="0"/>
                      <w:rPr>
                        <w:color w:val="00AD86"/>
                        <w:sz w:val="24"/>
                      </w:rPr>
                    </w:pPr>
                    <w:r w:rsidRPr="004678EB">
                      <w:t>Octobre 2023</w:t>
                    </w:r>
                  </w:p>
                  <w:p w14:paraId="53056B39" w14:textId="77777777" w:rsidR="007E0242" w:rsidRPr="004678EB" w:rsidRDefault="007E0242" w:rsidP="005D0E60">
                    <w:pPr>
                      <w:pStyle w:val="Index"/>
                      <w:rPr>
                        <w:color w:val="00AD86"/>
                      </w:rPr>
                    </w:pPr>
                  </w:p>
                  <w:p w14:paraId="11EF5D66" w14:textId="77777777" w:rsidR="007E0242" w:rsidRPr="004678EB" w:rsidRDefault="007E0242" w:rsidP="005D0E60">
                    <w:pPr>
                      <w:pStyle w:val="Index"/>
                      <w:rPr>
                        <w:color w:val="00AD86"/>
                      </w:rPr>
                    </w:pPr>
                  </w:p>
                </w:txbxContent>
              </v:textbox>
            </v:shape>
          </w:pict>
        </mc:Fallback>
      </mc:AlternateContent>
    </w:r>
    <w:r>
      <w:t xml:space="preserve"> </w:t>
    </w:r>
    <w:r>
      <mc:AlternateContent>
        <mc:Choice Requires="wps">
          <w:drawing>
            <wp:anchor distT="182880" distB="182880" distL="182880" distR="182880" simplePos="0" relativeHeight="251673606" behindDoc="0" locked="0" layoutInCell="1" allowOverlap="1" wp14:anchorId="3335BEBC" wp14:editId="2FE2EEB1">
              <wp:simplePos x="0" y="0"/>
              <wp:positionH relativeFrom="column">
                <wp:posOffset>-55856</wp:posOffset>
              </wp:positionH>
              <wp:positionV relativeFrom="paragraph">
                <wp:posOffset>57102</wp:posOffset>
              </wp:positionV>
              <wp:extent cx="6221442" cy="17253"/>
              <wp:effectExtent l="12700" t="25400" r="27305" b="33655"/>
              <wp:wrapNone/>
              <wp:docPr id="18" name="Straight Connector 18"/>
              <wp:cNvGraphicFramePr/>
              <a:graphic xmlns:a="http://schemas.openxmlformats.org/drawingml/2006/main">
                <a:graphicData uri="http://schemas.microsoft.com/office/word/2010/wordprocessingShape">
                  <wps:wsp>
                    <wps:cNvCnPr/>
                    <wps:spPr>
                      <a:xfrm flipV="1">
                        <a:off x="0" y="0"/>
                        <a:ext cx="6221442" cy="17253"/>
                      </a:xfrm>
                      <a:prstGeom prst="line">
                        <a:avLst/>
                      </a:prstGeom>
                      <a:ln w="47625">
                        <a:solidFill>
                          <a:srgbClr val="00B0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C49DB" id="Straight Connector 18" o:spid="_x0000_s1026" style="position:absolute;flip:y;z-index:251673606;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text;mso-width-percent:0;mso-height-percent:0;mso-width-relative:margin;mso-height-relative:margin" from="-4.4pt,4.5pt" to="48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" strokecolor="#00b084" strokeweight="3.75pt">
              <v:stroke joinstyle="miter"/>
            </v:line>
          </w:pict>
        </mc:Fallback>
      </mc:AlternateContent>
    </w:r>
    <w:r>
      <mc:AlternateContent>
        <mc:Choice Requires="wps">
          <w:drawing>
            <wp:anchor distT="182880" distB="182880" distL="182880" distR="182880" simplePos="0" relativeHeight="251672582" behindDoc="0" locked="0" layoutInCell="1" allowOverlap="1" wp14:anchorId="2FEBBF37" wp14:editId="02135C54">
              <wp:simplePos x="0" y="0"/>
              <wp:positionH relativeFrom="margin">
                <wp:posOffset>-185420</wp:posOffset>
              </wp:positionH>
              <wp:positionV relativeFrom="margin">
                <wp:posOffset>-713105</wp:posOffset>
              </wp:positionV>
              <wp:extent cx="6417945" cy="17145"/>
              <wp:effectExtent l="1270" t="2540" r="635" b="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7945" cy="1714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52C774E8" id="_x0000_t32" coordsize="21600,21600" o:spt="32" o:oned="t" path="m,l21600,21600e" filled="f">
              <v:path arrowok="t" fillok="f" o:connecttype="none"/>
              <o:lock v:ext="edit" shapetype="t"/>
            </v:shapetype>
            <v:shape id="AutoShape 2" o:spid="_x0000_s1026" type="#_x0000_t32" style="position:absolute;margin-left:-14.6pt;margin-top:-56.15pt;width:505.35pt;height:1.35pt;flip:y;z-index:25167258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" stroked="f" strokeweight=".5pt">
              <w10:wrap anchorx="margin" anchory="margin"/>
            </v:shape>
          </w:pict>
        </mc:Fallback>
      </mc:AlternateContent>
    </w:r>
    <w:r>
      <mc:AlternateContent>
        <mc:Choice Requires="wps">
          <w:drawing>
            <wp:anchor distT="182880" distB="182880" distL="182880" distR="182880" simplePos="0" relativeHeight="251671558" behindDoc="0" locked="0" layoutInCell="1" allowOverlap="1" wp14:anchorId="3BC9B099" wp14:editId="4388AC42">
              <wp:simplePos x="0" y="0"/>
              <wp:positionH relativeFrom="margin">
                <wp:posOffset>-55880</wp:posOffset>
              </wp:positionH>
              <wp:positionV relativeFrom="margin">
                <wp:posOffset>-635000</wp:posOffset>
              </wp:positionV>
              <wp:extent cx="6254115" cy="8255"/>
              <wp:effectExtent l="0" t="4445" r="0" b="0"/>
              <wp:wrapNone/>
              <wp:docPr id="2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115" cy="825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C3EDE29" id="AutoShape 1" o:spid="_x0000_s1026" type="#_x0000_t32" style="position:absolute;margin-left:-4.4pt;margin-top:-50pt;width:492.45pt;height:.65pt;z-index:251671558;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" stroked="f" strokeweight=".5pt">
              <w10:wrap anchorx="margin" anchory="margin"/>
            </v:shape>
          </w:pict>
        </mc:Fallback>
      </mc:AlternateContent>
    </w:r>
    <w:r>
      <w:tab/>
    </w:r>
  </w:p>
  <w:p w14:paraId="47013FD1" w14:textId="77777777" w:rsidR="007E0242" w:rsidRPr="005D0E60" w:rsidRDefault="007E0242" w:rsidP="005D0E60">
    <w:pPr>
      <w:pStyle w:val="Index"/>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5A2" w14:textId="77777777" w:rsidR="00FA473C" w:rsidRDefault="00FA473C"/>
  <w:p w14:paraId="0B00F061" w14:textId="77777777" w:rsidR="00F57172" w:rsidRDefault="00F57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00D5"/>
    <w:multiLevelType w:val="hybridMultilevel"/>
    <w:tmpl w:val="4200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0F72"/>
    <w:multiLevelType w:val="hybridMultilevel"/>
    <w:tmpl w:val="BFFA6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67733"/>
    <w:multiLevelType w:val="hybridMultilevel"/>
    <w:tmpl w:val="9322FD76"/>
    <w:lvl w:ilvl="0" w:tplc="7FF45A02">
      <w:start w:val="1"/>
      <w:numFmt w:val="bullet"/>
      <w:pStyle w:val="ListParagraph"/>
      <w:lvlText w:val=""/>
      <w:lvlJc w:val="left"/>
      <w:pPr>
        <w:ind w:left="454" w:hanging="454"/>
      </w:pPr>
      <w:rPr>
        <w:rFonts w:ascii="Symbol" w:hAnsi="Symbol" w:hint="default"/>
        <w:color w:val="00B0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B7775"/>
    <w:multiLevelType w:val="hybridMultilevel"/>
    <w:tmpl w:val="FE769FA6"/>
    <w:lvl w:ilvl="0" w:tplc="1A62996E">
      <w:start w:val="1"/>
      <w:numFmt w:val="decimal"/>
      <w:lvlText w:val="%1."/>
      <w:lvlJc w:val="left"/>
      <w:pPr>
        <w:ind w:left="360" w:hanging="360"/>
      </w:pPr>
      <w:rPr>
        <w:rFonts w:hint="default"/>
        <w:color w:val="00AD86"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A241BD"/>
    <w:multiLevelType w:val="hybridMultilevel"/>
    <w:tmpl w:val="55A05F1C"/>
    <w:lvl w:ilvl="0" w:tplc="A33CAD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87974"/>
    <w:multiLevelType w:val="hybridMultilevel"/>
    <w:tmpl w:val="0E2AA616"/>
    <w:lvl w:ilvl="0" w:tplc="1CEE3D3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DE5541"/>
    <w:multiLevelType w:val="hybridMultilevel"/>
    <w:tmpl w:val="DB1A2BDA"/>
    <w:lvl w:ilvl="0" w:tplc="E8221B66">
      <w:start w:val="1"/>
      <w:numFmt w:val="bullet"/>
      <w:lvlText w:val=""/>
      <w:lvlJc w:val="left"/>
      <w:pPr>
        <w:tabs>
          <w:tab w:val="num" w:pos="720"/>
        </w:tabs>
        <w:ind w:left="720" w:hanging="360"/>
      </w:pPr>
      <w:rPr>
        <w:rFonts w:ascii="Symbol" w:hAnsi="Symbol" w:hint="default"/>
        <w:sz w:val="20"/>
      </w:rPr>
    </w:lvl>
    <w:lvl w:ilvl="1" w:tplc="6FD47206" w:tentative="1">
      <w:start w:val="1"/>
      <w:numFmt w:val="bullet"/>
      <w:lvlText w:val="o"/>
      <w:lvlJc w:val="left"/>
      <w:pPr>
        <w:tabs>
          <w:tab w:val="num" w:pos="1440"/>
        </w:tabs>
        <w:ind w:left="1440" w:hanging="360"/>
      </w:pPr>
      <w:rPr>
        <w:rFonts w:ascii="Courier New" w:hAnsi="Courier New" w:hint="default"/>
        <w:sz w:val="20"/>
      </w:rPr>
    </w:lvl>
    <w:lvl w:ilvl="2" w:tplc="C0FC18FC" w:tentative="1">
      <w:start w:val="1"/>
      <w:numFmt w:val="bullet"/>
      <w:lvlText w:val=""/>
      <w:lvlJc w:val="left"/>
      <w:pPr>
        <w:tabs>
          <w:tab w:val="num" w:pos="2160"/>
        </w:tabs>
        <w:ind w:left="2160" w:hanging="360"/>
      </w:pPr>
      <w:rPr>
        <w:rFonts w:ascii="Wingdings" w:hAnsi="Wingdings" w:hint="default"/>
        <w:sz w:val="20"/>
      </w:rPr>
    </w:lvl>
    <w:lvl w:ilvl="3" w:tplc="0538A7D2" w:tentative="1">
      <w:start w:val="1"/>
      <w:numFmt w:val="bullet"/>
      <w:lvlText w:val=""/>
      <w:lvlJc w:val="left"/>
      <w:pPr>
        <w:tabs>
          <w:tab w:val="num" w:pos="2880"/>
        </w:tabs>
        <w:ind w:left="2880" w:hanging="360"/>
      </w:pPr>
      <w:rPr>
        <w:rFonts w:ascii="Wingdings" w:hAnsi="Wingdings" w:hint="default"/>
        <w:sz w:val="20"/>
      </w:rPr>
    </w:lvl>
    <w:lvl w:ilvl="4" w:tplc="95706478" w:tentative="1">
      <w:start w:val="1"/>
      <w:numFmt w:val="bullet"/>
      <w:lvlText w:val=""/>
      <w:lvlJc w:val="left"/>
      <w:pPr>
        <w:tabs>
          <w:tab w:val="num" w:pos="3600"/>
        </w:tabs>
        <w:ind w:left="3600" w:hanging="360"/>
      </w:pPr>
      <w:rPr>
        <w:rFonts w:ascii="Wingdings" w:hAnsi="Wingdings" w:hint="default"/>
        <w:sz w:val="20"/>
      </w:rPr>
    </w:lvl>
    <w:lvl w:ilvl="5" w:tplc="A4F84F10" w:tentative="1">
      <w:start w:val="1"/>
      <w:numFmt w:val="bullet"/>
      <w:lvlText w:val=""/>
      <w:lvlJc w:val="left"/>
      <w:pPr>
        <w:tabs>
          <w:tab w:val="num" w:pos="4320"/>
        </w:tabs>
        <w:ind w:left="4320" w:hanging="360"/>
      </w:pPr>
      <w:rPr>
        <w:rFonts w:ascii="Wingdings" w:hAnsi="Wingdings" w:hint="default"/>
        <w:sz w:val="20"/>
      </w:rPr>
    </w:lvl>
    <w:lvl w:ilvl="6" w:tplc="77EAC64E" w:tentative="1">
      <w:start w:val="1"/>
      <w:numFmt w:val="bullet"/>
      <w:lvlText w:val=""/>
      <w:lvlJc w:val="left"/>
      <w:pPr>
        <w:tabs>
          <w:tab w:val="num" w:pos="5040"/>
        </w:tabs>
        <w:ind w:left="5040" w:hanging="360"/>
      </w:pPr>
      <w:rPr>
        <w:rFonts w:ascii="Wingdings" w:hAnsi="Wingdings" w:hint="default"/>
        <w:sz w:val="20"/>
      </w:rPr>
    </w:lvl>
    <w:lvl w:ilvl="7" w:tplc="1BCE20DE" w:tentative="1">
      <w:start w:val="1"/>
      <w:numFmt w:val="bullet"/>
      <w:lvlText w:val=""/>
      <w:lvlJc w:val="left"/>
      <w:pPr>
        <w:tabs>
          <w:tab w:val="num" w:pos="5760"/>
        </w:tabs>
        <w:ind w:left="5760" w:hanging="360"/>
      </w:pPr>
      <w:rPr>
        <w:rFonts w:ascii="Wingdings" w:hAnsi="Wingdings" w:hint="default"/>
        <w:sz w:val="20"/>
      </w:rPr>
    </w:lvl>
    <w:lvl w:ilvl="8" w:tplc="5FCA39B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731FF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4B640F0"/>
    <w:multiLevelType w:val="hybridMultilevel"/>
    <w:tmpl w:val="00D64E10"/>
    <w:lvl w:ilvl="0" w:tplc="3FB42D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972119">
    <w:abstractNumId w:val="6"/>
  </w:num>
  <w:num w:numId="2" w16cid:durableId="1247151243">
    <w:abstractNumId w:val="8"/>
  </w:num>
  <w:num w:numId="3" w16cid:durableId="431509701">
    <w:abstractNumId w:val="4"/>
  </w:num>
  <w:num w:numId="4" w16cid:durableId="1105417529">
    <w:abstractNumId w:val="2"/>
  </w:num>
  <w:num w:numId="5" w16cid:durableId="1731683269">
    <w:abstractNumId w:val="2"/>
  </w:num>
  <w:num w:numId="6" w16cid:durableId="293218420">
    <w:abstractNumId w:val="7"/>
  </w:num>
  <w:num w:numId="7" w16cid:durableId="1807039603">
    <w:abstractNumId w:val="0"/>
  </w:num>
  <w:num w:numId="8" w16cid:durableId="482507457">
    <w:abstractNumId w:val="5"/>
  </w:num>
  <w:num w:numId="9" w16cid:durableId="541941294">
    <w:abstractNumId w:val="1"/>
  </w:num>
  <w:num w:numId="10" w16cid:durableId="1439982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style="mso-position-horizontal-relative:margin;mso-position-vertical-relative:margin;mso-width-percent:385;mso-width-relative:margin;mso-height-relative:margin" fillcolor="none [3214]" stroke="f">
      <v:fill color="none [3214]"/>
      <v:stroke weight=".5pt" on="f"/>
      <v:textbox style="mso-fit-shape-to-text:t" inset=",0,,0"/>
    </o:shapedefaults>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UwNDM3MTCxMDVV0lEKTi0uzszPAykwrAUAzO6LZSwAAAA="/>
  </w:docVars>
  <w:rsids>
    <w:rsidRoot w:val="00E60D3C"/>
    <w:rsid w:val="000009E5"/>
    <w:rsid w:val="00001E84"/>
    <w:rsid w:val="00002E66"/>
    <w:rsid w:val="00006DD3"/>
    <w:rsid w:val="00007268"/>
    <w:rsid w:val="00012BB2"/>
    <w:rsid w:val="000201A2"/>
    <w:rsid w:val="00022498"/>
    <w:rsid w:val="00022850"/>
    <w:rsid w:val="00023D59"/>
    <w:rsid w:val="00024005"/>
    <w:rsid w:val="000253FA"/>
    <w:rsid w:val="00026CDF"/>
    <w:rsid w:val="00027199"/>
    <w:rsid w:val="00027280"/>
    <w:rsid w:val="0003141E"/>
    <w:rsid w:val="00031C48"/>
    <w:rsid w:val="00033798"/>
    <w:rsid w:val="00035C4F"/>
    <w:rsid w:val="00035C5C"/>
    <w:rsid w:val="0003620C"/>
    <w:rsid w:val="00036718"/>
    <w:rsid w:val="000368BF"/>
    <w:rsid w:val="000415BC"/>
    <w:rsid w:val="00044B13"/>
    <w:rsid w:val="00045957"/>
    <w:rsid w:val="0004787E"/>
    <w:rsid w:val="00051074"/>
    <w:rsid w:val="0005379F"/>
    <w:rsid w:val="00060736"/>
    <w:rsid w:val="00061541"/>
    <w:rsid w:val="00061649"/>
    <w:rsid w:val="0006190C"/>
    <w:rsid w:val="000619B1"/>
    <w:rsid w:val="000628AC"/>
    <w:rsid w:val="000631B1"/>
    <w:rsid w:val="000655E6"/>
    <w:rsid w:val="00065644"/>
    <w:rsid w:val="00070549"/>
    <w:rsid w:val="000711DA"/>
    <w:rsid w:val="000712D5"/>
    <w:rsid w:val="000717AC"/>
    <w:rsid w:val="00072F1A"/>
    <w:rsid w:val="000733FF"/>
    <w:rsid w:val="0007344C"/>
    <w:rsid w:val="00073D8C"/>
    <w:rsid w:val="00083B7E"/>
    <w:rsid w:val="00084352"/>
    <w:rsid w:val="00085D9F"/>
    <w:rsid w:val="00086001"/>
    <w:rsid w:val="00086AAE"/>
    <w:rsid w:val="0009415A"/>
    <w:rsid w:val="00096427"/>
    <w:rsid w:val="00097737"/>
    <w:rsid w:val="000A0332"/>
    <w:rsid w:val="000A14B6"/>
    <w:rsid w:val="000A1941"/>
    <w:rsid w:val="000A2A4F"/>
    <w:rsid w:val="000A3A40"/>
    <w:rsid w:val="000A4020"/>
    <w:rsid w:val="000A522E"/>
    <w:rsid w:val="000A5F32"/>
    <w:rsid w:val="000A713B"/>
    <w:rsid w:val="000B78F6"/>
    <w:rsid w:val="000C108D"/>
    <w:rsid w:val="000C131F"/>
    <w:rsid w:val="000C4D8D"/>
    <w:rsid w:val="000C51A6"/>
    <w:rsid w:val="000C5F65"/>
    <w:rsid w:val="000D0393"/>
    <w:rsid w:val="000D24D3"/>
    <w:rsid w:val="000D2D3A"/>
    <w:rsid w:val="000D41E8"/>
    <w:rsid w:val="000D4C1E"/>
    <w:rsid w:val="000E0A6B"/>
    <w:rsid w:val="000E1E41"/>
    <w:rsid w:val="000E2CEA"/>
    <w:rsid w:val="000E4BC1"/>
    <w:rsid w:val="000E7219"/>
    <w:rsid w:val="000F2FF1"/>
    <w:rsid w:val="000F552E"/>
    <w:rsid w:val="000F585D"/>
    <w:rsid w:val="000F6209"/>
    <w:rsid w:val="000F7AB1"/>
    <w:rsid w:val="000F7D8F"/>
    <w:rsid w:val="00101FF0"/>
    <w:rsid w:val="00102501"/>
    <w:rsid w:val="00103170"/>
    <w:rsid w:val="00103409"/>
    <w:rsid w:val="00104183"/>
    <w:rsid w:val="00104635"/>
    <w:rsid w:val="00105895"/>
    <w:rsid w:val="0010658E"/>
    <w:rsid w:val="00107422"/>
    <w:rsid w:val="00110518"/>
    <w:rsid w:val="0011223F"/>
    <w:rsid w:val="00116DEB"/>
    <w:rsid w:val="00117CDB"/>
    <w:rsid w:val="00117DAD"/>
    <w:rsid w:val="00121B59"/>
    <w:rsid w:val="001229DF"/>
    <w:rsid w:val="001240F7"/>
    <w:rsid w:val="00124331"/>
    <w:rsid w:val="001243CF"/>
    <w:rsid w:val="00124F11"/>
    <w:rsid w:val="00127F1F"/>
    <w:rsid w:val="00130A98"/>
    <w:rsid w:val="00132FD5"/>
    <w:rsid w:val="001337AE"/>
    <w:rsid w:val="00134376"/>
    <w:rsid w:val="00134ACB"/>
    <w:rsid w:val="00134DF4"/>
    <w:rsid w:val="001379F4"/>
    <w:rsid w:val="0014113D"/>
    <w:rsid w:val="00141C36"/>
    <w:rsid w:val="00143ABA"/>
    <w:rsid w:val="00145386"/>
    <w:rsid w:val="001474FF"/>
    <w:rsid w:val="00147F77"/>
    <w:rsid w:val="00152D72"/>
    <w:rsid w:val="00153052"/>
    <w:rsid w:val="00153221"/>
    <w:rsid w:val="001570F9"/>
    <w:rsid w:val="00160191"/>
    <w:rsid w:val="001607FC"/>
    <w:rsid w:val="0016654C"/>
    <w:rsid w:val="00166A7F"/>
    <w:rsid w:val="0017059F"/>
    <w:rsid w:val="0017570D"/>
    <w:rsid w:val="0017589D"/>
    <w:rsid w:val="001770F6"/>
    <w:rsid w:val="00180072"/>
    <w:rsid w:val="00182702"/>
    <w:rsid w:val="00184166"/>
    <w:rsid w:val="00184911"/>
    <w:rsid w:val="00186912"/>
    <w:rsid w:val="00187962"/>
    <w:rsid w:val="00187F7C"/>
    <w:rsid w:val="00190F05"/>
    <w:rsid w:val="001914E6"/>
    <w:rsid w:val="0019211C"/>
    <w:rsid w:val="001921D2"/>
    <w:rsid w:val="00192769"/>
    <w:rsid w:val="0019311D"/>
    <w:rsid w:val="00195CA8"/>
    <w:rsid w:val="001A0C63"/>
    <w:rsid w:val="001A1ECA"/>
    <w:rsid w:val="001A2D1F"/>
    <w:rsid w:val="001A2DE0"/>
    <w:rsid w:val="001A3A36"/>
    <w:rsid w:val="001A4409"/>
    <w:rsid w:val="001A5204"/>
    <w:rsid w:val="001A68AD"/>
    <w:rsid w:val="001B1D26"/>
    <w:rsid w:val="001B32CE"/>
    <w:rsid w:val="001B4209"/>
    <w:rsid w:val="001B6606"/>
    <w:rsid w:val="001B7EAB"/>
    <w:rsid w:val="001C0E57"/>
    <w:rsid w:val="001C16E3"/>
    <w:rsid w:val="001C17E8"/>
    <w:rsid w:val="001C2109"/>
    <w:rsid w:val="001C4DDC"/>
    <w:rsid w:val="001C577B"/>
    <w:rsid w:val="001C589A"/>
    <w:rsid w:val="001C6767"/>
    <w:rsid w:val="001D0CD0"/>
    <w:rsid w:val="001D4226"/>
    <w:rsid w:val="001D67C1"/>
    <w:rsid w:val="001E2F5F"/>
    <w:rsid w:val="001E551F"/>
    <w:rsid w:val="001E7215"/>
    <w:rsid w:val="001E729D"/>
    <w:rsid w:val="001F02A2"/>
    <w:rsid w:val="001F269D"/>
    <w:rsid w:val="001F56A5"/>
    <w:rsid w:val="001F5D55"/>
    <w:rsid w:val="001F787C"/>
    <w:rsid w:val="00200462"/>
    <w:rsid w:val="00201371"/>
    <w:rsid w:val="00202715"/>
    <w:rsid w:val="0020361F"/>
    <w:rsid w:val="00203E11"/>
    <w:rsid w:val="002057BC"/>
    <w:rsid w:val="00207848"/>
    <w:rsid w:val="00207BDA"/>
    <w:rsid w:val="00211731"/>
    <w:rsid w:val="002126AE"/>
    <w:rsid w:val="002154B4"/>
    <w:rsid w:val="002209E1"/>
    <w:rsid w:val="0022143F"/>
    <w:rsid w:val="00222965"/>
    <w:rsid w:val="00222CD5"/>
    <w:rsid w:val="0022438F"/>
    <w:rsid w:val="00225206"/>
    <w:rsid w:val="0022572C"/>
    <w:rsid w:val="002260F4"/>
    <w:rsid w:val="002262B2"/>
    <w:rsid w:val="0022710E"/>
    <w:rsid w:val="00227F75"/>
    <w:rsid w:val="00232A8D"/>
    <w:rsid w:val="002370C5"/>
    <w:rsid w:val="00237CD9"/>
    <w:rsid w:val="00240AC0"/>
    <w:rsid w:val="002416C4"/>
    <w:rsid w:val="002501AE"/>
    <w:rsid w:val="00252292"/>
    <w:rsid w:val="002533DD"/>
    <w:rsid w:val="00253B03"/>
    <w:rsid w:val="002551AE"/>
    <w:rsid w:val="00260C78"/>
    <w:rsid w:val="002621CB"/>
    <w:rsid w:val="00262673"/>
    <w:rsid w:val="00263650"/>
    <w:rsid w:val="00265601"/>
    <w:rsid w:val="00270BC8"/>
    <w:rsid w:val="00272277"/>
    <w:rsid w:val="00274266"/>
    <w:rsid w:val="002742A3"/>
    <w:rsid w:val="00276AF4"/>
    <w:rsid w:val="00277539"/>
    <w:rsid w:val="00277CA7"/>
    <w:rsid w:val="0028047C"/>
    <w:rsid w:val="00283CED"/>
    <w:rsid w:val="00285E78"/>
    <w:rsid w:val="00286B59"/>
    <w:rsid w:val="00286C30"/>
    <w:rsid w:val="002877F7"/>
    <w:rsid w:val="0029014A"/>
    <w:rsid w:val="00290757"/>
    <w:rsid w:val="00292BE3"/>
    <w:rsid w:val="002946E0"/>
    <w:rsid w:val="00294BF2"/>
    <w:rsid w:val="002958E5"/>
    <w:rsid w:val="002972A0"/>
    <w:rsid w:val="002A0084"/>
    <w:rsid w:val="002A1AF4"/>
    <w:rsid w:val="002A30CA"/>
    <w:rsid w:val="002A3203"/>
    <w:rsid w:val="002A4F12"/>
    <w:rsid w:val="002A53B6"/>
    <w:rsid w:val="002A6785"/>
    <w:rsid w:val="002B10B8"/>
    <w:rsid w:val="002B1CE9"/>
    <w:rsid w:val="002B1E79"/>
    <w:rsid w:val="002B2678"/>
    <w:rsid w:val="002B2EC7"/>
    <w:rsid w:val="002B63D1"/>
    <w:rsid w:val="002B6F32"/>
    <w:rsid w:val="002B775D"/>
    <w:rsid w:val="002C02ED"/>
    <w:rsid w:val="002C0B58"/>
    <w:rsid w:val="002C1349"/>
    <w:rsid w:val="002C2794"/>
    <w:rsid w:val="002C363E"/>
    <w:rsid w:val="002C6A83"/>
    <w:rsid w:val="002C6BC0"/>
    <w:rsid w:val="002D371F"/>
    <w:rsid w:val="002D4D37"/>
    <w:rsid w:val="002D64A4"/>
    <w:rsid w:val="002E1594"/>
    <w:rsid w:val="002E308D"/>
    <w:rsid w:val="002E32CE"/>
    <w:rsid w:val="002E49BA"/>
    <w:rsid w:val="002F0CB7"/>
    <w:rsid w:val="002F1126"/>
    <w:rsid w:val="002F1871"/>
    <w:rsid w:val="002F2351"/>
    <w:rsid w:val="002F2CFB"/>
    <w:rsid w:val="002F3F83"/>
    <w:rsid w:val="002F4240"/>
    <w:rsid w:val="002F49D0"/>
    <w:rsid w:val="002F4DF6"/>
    <w:rsid w:val="00301ABE"/>
    <w:rsid w:val="00302F96"/>
    <w:rsid w:val="003079A5"/>
    <w:rsid w:val="0031116B"/>
    <w:rsid w:val="0031177C"/>
    <w:rsid w:val="00313579"/>
    <w:rsid w:val="00315458"/>
    <w:rsid w:val="00316E90"/>
    <w:rsid w:val="00322D3C"/>
    <w:rsid w:val="00325DEB"/>
    <w:rsid w:val="003261C7"/>
    <w:rsid w:val="0032662B"/>
    <w:rsid w:val="00327031"/>
    <w:rsid w:val="00327413"/>
    <w:rsid w:val="00330F3A"/>
    <w:rsid w:val="00331768"/>
    <w:rsid w:val="00332203"/>
    <w:rsid w:val="00334661"/>
    <w:rsid w:val="003346E4"/>
    <w:rsid w:val="00334BA4"/>
    <w:rsid w:val="00335CC8"/>
    <w:rsid w:val="00337BDD"/>
    <w:rsid w:val="003407CC"/>
    <w:rsid w:val="00342029"/>
    <w:rsid w:val="003424CD"/>
    <w:rsid w:val="003450E1"/>
    <w:rsid w:val="00345201"/>
    <w:rsid w:val="003527CA"/>
    <w:rsid w:val="003530EB"/>
    <w:rsid w:val="00357DDB"/>
    <w:rsid w:val="003614E7"/>
    <w:rsid w:val="00362099"/>
    <w:rsid w:val="0036353B"/>
    <w:rsid w:val="00365EDB"/>
    <w:rsid w:val="00366E75"/>
    <w:rsid w:val="00370A2E"/>
    <w:rsid w:val="0037142A"/>
    <w:rsid w:val="0037255C"/>
    <w:rsid w:val="0037320E"/>
    <w:rsid w:val="003732C4"/>
    <w:rsid w:val="003737BC"/>
    <w:rsid w:val="00380EF4"/>
    <w:rsid w:val="003811EB"/>
    <w:rsid w:val="0038134F"/>
    <w:rsid w:val="00382F95"/>
    <w:rsid w:val="00383067"/>
    <w:rsid w:val="00387608"/>
    <w:rsid w:val="0039139D"/>
    <w:rsid w:val="00395EBA"/>
    <w:rsid w:val="00397234"/>
    <w:rsid w:val="00397AE2"/>
    <w:rsid w:val="003A15E3"/>
    <w:rsid w:val="003A236D"/>
    <w:rsid w:val="003A34C1"/>
    <w:rsid w:val="003A5F42"/>
    <w:rsid w:val="003B1A05"/>
    <w:rsid w:val="003B1B24"/>
    <w:rsid w:val="003B27E0"/>
    <w:rsid w:val="003B2CF0"/>
    <w:rsid w:val="003B3381"/>
    <w:rsid w:val="003B4335"/>
    <w:rsid w:val="003B609D"/>
    <w:rsid w:val="003C049C"/>
    <w:rsid w:val="003C1D25"/>
    <w:rsid w:val="003C3BBE"/>
    <w:rsid w:val="003C4E0E"/>
    <w:rsid w:val="003C60C3"/>
    <w:rsid w:val="003D1D52"/>
    <w:rsid w:val="003D350D"/>
    <w:rsid w:val="003D5355"/>
    <w:rsid w:val="003D59F6"/>
    <w:rsid w:val="003D5C89"/>
    <w:rsid w:val="003D6656"/>
    <w:rsid w:val="003D7F32"/>
    <w:rsid w:val="003D7FBB"/>
    <w:rsid w:val="003E27FF"/>
    <w:rsid w:val="003E374F"/>
    <w:rsid w:val="003E7155"/>
    <w:rsid w:val="003E73A1"/>
    <w:rsid w:val="003F019A"/>
    <w:rsid w:val="003F3B6E"/>
    <w:rsid w:val="003F5184"/>
    <w:rsid w:val="004054DC"/>
    <w:rsid w:val="00407B8D"/>
    <w:rsid w:val="00411DD0"/>
    <w:rsid w:val="00412C0B"/>
    <w:rsid w:val="00413A03"/>
    <w:rsid w:val="004148BB"/>
    <w:rsid w:val="0041614A"/>
    <w:rsid w:val="00417966"/>
    <w:rsid w:val="004204B4"/>
    <w:rsid w:val="0042304C"/>
    <w:rsid w:val="00423CA9"/>
    <w:rsid w:val="004240A4"/>
    <w:rsid w:val="00424233"/>
    <w:rsid w:val="00425303"/>
    <w:rsid w:val="00425696"/>
    <w:rsid w:val="0042668E"/>
    <w:rsid w:val="004277F0"/>
    <w:rsid w:val="004324D2"/>
    <w:rsid w:val="004338FF"/>
    <w:rsid w:val="004339F5"/>
    <w:rsid w:val="004355D3"/>
    <w:rsid w:val="004420B8"/>
    <w:rsid w:val="004422D0"/>
    <w:rsid w:val="00442DCB"/>
    <w:rsid w:val="00444285"/>
    <w:rsid w:val="0044481D"/>
    <w:rsid w:val="0044508A"/>
    <w:rsid w:val="00445652"/>
    <w:rsid w:val="0044594D"/>
    <w:rsid w:val="00446298"/>
    <w:rsid w:val="00446B95"/>
    <w:rsid w:val="00446D48"/>
    <w:rsid w:val="00450D58"/>
    <w:rsid w:val="004533C9"/>
    <w:rsid w:val="00455435"/>
    <w:rsid w:val="004577BF"/>
    <w:rsid w:val="004579B5"/>
    <w:rsid w:val="00457FDF"/>
    <w:rsid w:val="00460D14"/>
    <w:rsid w:val="0046155A"/>
    <w:rsid w:val="00462452"/>
    <w:rsid w:val="004638DB"/>
    <w:rsid w:val="00463928"/>
    <w:rsid w:val="00466D5B"/>
    <w:rsid w:val="004678EB"/>
    <w:rsid w:val="004701FE"/>
    <w:rsid w:val="00472036"/>
    <w:rsid w:val="00473252"/>
    <w:rsid w:val="0047331C"/>
    <w:rsid w:val="00473532"/>
    <w:rsid w:val="00473AF7"/>
    <w:rsid w:val="00476179"/>
    <w:rsid w:val="00476921"/>
    <w:rsid w:val="0048114B"/>
    <w:rsid w:val="004829C1"/>
    <w:rsid w:val="004844A0"/>
    <w:rsid w:val="00485F07"/>
    <w:rsid w:val="004917B7"/>
    <w:rsid w:val="00492114"/>
    <w:rsid w:val="00495039"/>
    <w:rsid w:val="0049550E"/>
    <w:rsid w:val="004956E4"/>
    <w:rsid w:val="00497643"/>
    <w:rsid w:val="00497E1A"/>
    <w:rsid w:val="004A03E9"/>
    <w:rsid w:val="004A3434"/>
    <w:rsid w:val="004A404E"/>
    <w:rsid w:val="004A55EB"/>
    <w:rsid w:val="004A5FBB"/>
    <w:rsid w:val="004B1101"/>
    <w:rsid w:val="004B11F8"/>
    <w:rsid w:val="004B289F"/>
    <w:rsid w:val="004B3790"/>
    <w:rsid w:val="004B5CF0"/>
    <w:rsid w:val="004B7B9C"/>
    <w:rsid w:val="004C0824"/>
    <w:rsid w:val="004C2613"/>
    <w:rsid w:val="004C274B"/>
    <w:rsid w:val="004C46A6"/>
    <w:rsid w:val="004C46EF"/>
    <w:rsid w:val="004C4E0C"/>
    <w:rsid w:val="004D0D1B"/>
    <w:rsid w:val="004D623F"/>
    <w:rsid w:val="004D773B"/>
    <w:rsid w:val="004E017E"/>
    <w:rsid w:val="004E0F11"/>
    <w:rsid w:val="004E100A"/>
    <w:rsid w:val="004E52BD"/>
    <w:rsid w:val="004E5761"/>
    <w:rsid w:val="004E7C8E"/>
    <w:rsid w:val="004F069E"/>
    <w:rsid w:val="004F0FCF"/>
    <w:rsid w:val="004F16B2"/>
    <w:rsid w:val="004F1F63"/>
    <w:rsid w:val="004F5926"/>
    <w:rsid w:val="004F6923"/>
    <w:rsid w:val="004F6D28"/>
    <w:rsid w:val="0050201B"/>
    <w:rsid w:val="00505B1F"/>
    <w:rsid w:val="00505FF5"/>
    <w:rsid w:val="00510C1E"/>
    <w:rsid w:val="00510D97"/>
    <w:rsid w:val="00510F10"/>
    <w:rsid w:val="0051283D"/>
    <w:rsid w:val="00516C8B"/>
    <w:rsid w:val="005171B6"/>
    <w:rsid w:val="0052209F"/>
    <w:rsid w:val="005223AE"/>
    <w:rsid w:val="00522463"/>
    <w:rsid w:val="0052439E"/>
    <w:rsid w:val="00525611"/>
    <w:rsid w:val="0052684E"/>
    <w:rsid w:val="00526D2A"/>
    <w:rsid w:val="00530A2B"/>
    <w:rsid w:val="00530A53"/>
    <w:rsid w:val="0053194F"/>
    <w:rsid w:val="005322E4"/>
    <w:rsid w:val="00533CA5"/>
    <w:rsid w:val="00541324"/>
    <w:rsid w:val="00544203"/>
    <w:rsid w:val="00545EB8"/>
    <w:rsid w:val="005463DE"/>
    <w:rsid w:val="00550336"/>
    <w:rsid w:val="00551731"/>
    <w:rsid w:val="00553D84"/>
    <w:rsid w:val="00556616"/>
    <w:rsid w:val="00557CBC"/>
    <w:rsid w:val="00562A28"/>
    <w:rsid w:val="00562C57"/>
    <w:rsid w:val="00563598"/>
    <w:rsid w:val="005639C5"/>
    <w:rsid w:val="00566A90"/>
    <w:rsid w:val="0057397C"/>
    <w:rsid w:val="00575E3C"/>
    <w:rsid w:val="0057725A"/>
    <w:rsid w:val="005772BB"/>
    <w:rsid w:val="00580D44"/>
    <w:rsid w:val="0058536D"/>
    <w:rsid w:val="005866FC"/>
    <w:rsid w:val="00592095"/>
    <w:rsid w:val="00592552"/>
    <w:rsid w:val="00594350"/>
    <w:rsid w:val="005956BC"/>
    <w:rsid w:val="0059649E"/>
    <w:rsid w:val="005A0AF9"/>
    <w:rsid w:val="005A0D2D"/>
    <w:rsid w:val="005A1B5A"/>
    <w:rsid w:val="005A21D5"/>
    <w:rsid w:val="005A5259"/>
    <w:rsid w:val="005A59E4"/>
    <w:rsid w:val="005B003A"/>
    <w:rsid w:val="005B1F35"/>
    <w:rsid w:val="005B51A6"/>
    <w:rsid w:val="005B6922"/>
    <w:rsid w:val="005C1460"/>
    <w:rsid w:val="005C32DD"/>
    <w:rsid w:val="005C3C99"/>
    <w:rsid w:val="005C5C74"/>
    <w:rsid w:val="005C5E58"/>
    <w:rsid w:val="005D0E60"/>
    <w:rsid w:val="005D0FA8"/>
    <w:rsid w:val="005D1181"/>
    <w:rsid w:val="005D13CC"/>
    <w:rsid w:val="005D40F3"/>
    <w:rsid w:val="005D6E88"/>
    <w:rsid w:val="005E30ED"/>
    <w:rsid w:val="005E4413"/>
    <w:rsid w:val="005E5418"/>
    <w:rsid w:val="005E6178"/>
    <w:rsid w:val="005E75E2"/>
    <w:rsid w:val="005F23A0"/>
    <w:rsid w:val="005F5DC7"/>
    <w:rsid w:val="0060085F"/>
    <w:rsid w:val="0060223E"/>
    <w:rsid w:val="00602407"/>
    <w:rsid w:val="00602763"/>
    <w:rsid w:val="006054E4"/>
    <w:rsid w:val="00606181"/>
    <w:rsid w:val="00611838"/>
    <w:rsid w:val="00611B3B"/>
    <w:rsid w:val="00615A86"/>
    <w:rsid w:val="00616659"/>
    <w:rsid w:val="0062055A"/>
    <w:rsid w:val="00622C40"/>
    <w:rsid w:val="0062460A"/>
    <w:rsid w:val="00626985"/>
    <w:rsid w:val="00630377"/>
    <w:rsid w:val="006312BA"/>
    <w:rsid w:val="006315A9"/>
    <w:rsid w:val="006315F9"/>
    <w:rsid w:val="00632D32"/>
    <w:rsid w:val="00633E0D"/>
    <w:rsid w:val="00633FDD"/>
    <w:rsid w:val="00635979"/>
    <w:rsid w:val="00641006"/>
    <w:rsid w:val="00645D7F"/>
    <w:rsid w:val="006464EF"/>
    <w:rsid w:val="0064715F"/>
    <w:rsid w:val="00647785"/>
    <w:rsid w:val="00651AA6"/>
    <w:rsid w:val="0065202C"/>
    <w:rsid w:val="006522FB"/>
    <w:rsid w:val="00653882"/>
    <w:rsid w:val="0065457B"/>
    <w:rsid w:val="006572FA"/>
    <w:rsid w:val="00657ACB"/>
    <w:rsid w:val="00661D3E"/>
    <w:rsid w:val="006627D4"/>
    <w:rsid w:val="00664251"/>
    <w:rsid w:val="00664668"/>
    <w:rsid w:val="0066565C"/>
    <w:rsid w:val="00666CEF"/>
    <w:rsid w:val="00673C38"/>
    <w:rsid w:val="006757D0"/>
    <w:rsid w:val="006773C2"/>
    <w:rsid w:val="00682A3A"/>
    <w:rsid w:val="00687547"/>
    <w:rsid w:val="006902FC"/>
    <w:rsid w:val="006911D5"/>
    <w:rsid w:val="00695C67"/>
    <w:rsid w:val="00697509"/>
    <w:rsid w:val="00697E1F"/>
    <w:rsid w:val="006A25EC"/>
    <w:rsid w:val="006A6856"/>
    <w:rsid w:val="006A6CA5"/>
    <w:rsid w:val="006B1BBC"/>
    <w:rsid w:val="006B2E47"/>
    <w:rsid w:val="006B5B4F"/>
    <w:rsid w:val="006B62AD"/>
    <w:rsid w:val="006B6D87"/>
    <w:rsid w:val="006C1743"/>
    <w:rsid w:val="006C1F4B"/>
    <w:rsid w:val="006C1FF6"/>
    <w:rsid w:val="006C212F"/>
    <w:rsid w:val="006C3286"/>
    <w:rsid w:val="006D381C"/>
    <w:rsid w:val="006D3FE7"/>
    <w:rsid w:val="006D41CA"/>
    <w:rsid w:val="006D6EE6"/>
    <w:rsid w:val="006E0FA9"/>
    <w:rsid w:val="006E115B"/>
    <w:rsid w:val="006E2503"/>
    <w:rsid w:val="006F2B95"/>
    <w:rsid w:val="006F437D"/>
    <w:rsid w:val="006F4598"/>
    <w:rsid w:val="006F615A"/>
    <w:rsid w:val="00700F69"/>
    <w:rsid w:val="00702023"/>
    <w:rsid w:val="0070361A"/>
    <w:rsid w:val="00704289"/>
    <w:rsid w:val="007046EB"/>
    <w:rsid w:val="00705640"/>
    <w:rsid w:val="0070788B"/>
    <w:rsid w:val="00707B90"/>
    <w:rsid w:val="00710C53"/>
    <w:rsid w:val="007153D3"/>
    <w:rsid w:val="00720DC6"/>
    <w:rsid w:val="00722584"/>
    <w:rsid w:val="00724E72"/>
    <w:rsid w:val="00727097"/>
    <w:rsid w:val="00730249"/>
    <w:rsid w:val="0073211A"/>
    <w:rsid w:val="00732C49"/>
    <w:rsid w:val="00735ED2"/>
    <w:rsid w:val="00736FAC"/>
    <w:rsid w:val="00737452"/>
    <w:rsid w:val="00740F89"/>
    <w:rsid w:val="00741A6C"/>
    <w:rsid w:val="00741E5F"/>
    <w:rsid w:val="00743FB4"/>
    <w:rsid w:val="007444A3"/>
    <w:rsid w:val="007465B1"/>
    <w:rsid w:val="00746979"/>
    <w:rsid w:val="00747F2E"/>
    <w:rsid w:val="007514C2"/>
    <w:rsid w:val="00753FFC"/>
    <w:rsid w:val="0075626C"/>
    <w:rsid w:val="00757256"/>
    <w:rsid w:val="00765898"/>
    <w:rsid w:val="00772148"/>
    <w:rsid w:val="00774B31"/>
    <w:rsid w:val="007753DA"/>
    <w:rsid w:val="00775570"/>
    <w:rsid w:val="00775884"/>
    <w:rsid w:val="00781921"/>
    <w:rsid w:val="0078221D"/>
    <w:rsid w:val="007828E4"/>
    <w:rsid w:val="00783C0C"/>
    <w:rsid w:val="00784233"/>
    <w:rsid w:val="00790608"/>
    <w:rsid w:val="00793B57"/>
    <w:rsid w:val="00794E47"/>
    <w:rsid w:val="0079591E"/>
    <w:rsid w:val="00796604"/>
    <w:rsid w:val="007A1322"/>
    <w:rsid w:val="007A1584"/>
    <w:rsid w:val="007A28BB"/>
    <w:rsid w:val="007A4963"/>
    <w:rsid w:val="007A4D8B"/>
    <w:rsid w:val="007A51AC"/>
    <w:rsid w:val="007A5870"/>
    <w:rsid w:val="007A608E"/>
    <w:rsid w:val="007A6ABC"/>
    <w:rsid w:val="007B7A27"/>
    <w:rsid w:val="007C0515"/>
    <w:rsid w:val="007C20FD"/>
    <w:rsid w:val="007C58BA"/>
    <w:rsid w:val="007D0899"/>
    <w:rsid w:val="007D5157"/>
    <w:rsid w:val="007E0242"/>
    <w:rsid w:val="007E77CF"/>
    <w:rsid w:val="007F0FBF"/>
    <w:rsid w:val="007F22DD"/>
    <w:rsid w:val="007F4642"/>
    <w:rsid w:val="007F6E1B"/>
    <w:rsid w:val="008018FF"/>
    <w:rsid w:val="00801BE3"/>
    <w:rsid w:val="008048D2"/>
    <w:rsid w:val="00806491"/>
    <w:rsid w:val="008079C8"/>
    <w:rsid w:val="00807C55"/>
    <w:rsid w:val="00810B70"/>
    <w:rsid w:val="00812937"/>
    <w:rsid w:val="00813283"/>
    <w:rsid w:val="00813646"/>
    <w:rsid w:val="0081647E"/>
    <w:rsid w:val="00816878"/>
    <w:rsid w:val="00816B61"/>
    <w:rsid w:val="00817011"/>
    <w:rsid w:val="00820160"/>
    <w:rsid w:val="00820B31"/>
    <w:rsid w:val="00821DC8"/>
    <w:rsid w:val="00822F79"/>
    <w:rsid w:val="00823585"/>
    <w:rsid w:val="00823A52"/>
    <w:rsid w:val="0082489B"/>
    <w:rsid w:val="0082616E"/>
    <w:rsid w:val="008265C1"/>
    <w:rsid w:val="008279B7"/>
    <w:rsid w:val="00827B0B"/>
    <w:rsid w:val="0083138E"/>
    <w:rsid w:val="008313DF"/>
    <w:rsid w:val="008328FB"/>
    <w:rsid w:val="00833AB5"/>
    <w:rsid w:val="0083418B"/>
    <w:rsid w:val="00834B11"/>
    <w:rsid w:val="00834CB9"/>
    <w:rsid w:val="008350B0"/>
    <w:rsid w:val="00836CBE"/>
    <w:rsid w:val="0083774B"/>
    <w:rsid w:val="00837E71"/>
    <w:rsid w:val="00840049"/>
    <w:rsid w:val="008419D0"/>
    <w:rsid w:val="00843551"/>
    <w:rsid w:val="00843E04"/>
    <w:rsid w:val="00843F5E"/>
    <w:rsid w:val="00845773"/>
    <w:rsid w:val="00845E51"/>
    <w:rsid w:val="00851AE8"/>
    <w:rsid w:val="00854330"/>
    <w:rsid w:val="0085680D"/>
    <w:rsid w:val="0085689A"/>
    <w:rsid w:val="00856A1F"/>
    <w:rsid w:val="00860013"/>
    <w:rsid w:val="00863417"/>
    <w:rsid w:val="00863CAD"/>
    <w:rsid w:val="00865B91"/>
    <w:rsid w:val="00867927"/>
    <w:rsid w:val="008715E1"/>
    <w:rsid w:val="00873752"/>
    <w:rsid w:val="00874B81"/>
    <w:rsid w:val="008824D5"/>
    <w:rsid w:val="00891D8E"/>
    <w:rsid w:val="008937B4"/>
    <w:rsid w:val="00895825"/>
    <w:rsid w:val="0089588F"/>
    <w:rsid w:val="00896C7A"/>
    <w:rsid w:val="008A3E82"/>
    <w:rsid w:val="008A4329"/>
    <w:rsid w:val="008A50C3"/>
    <w:rsid w:val="008A7EFE"/>
    <w:rsid w:val="008B2D30"/>
    <w:rsid w:val="008B4EC4"/>
    <w:rsid w:val="008B596F"/>
    <w:rsid w:val="008B6068"/>
    <w:rsid w:val="008B656B"/>
    <w:rsid w:val="008C2202"/>
    <w:rsid w:val="008C2CEA"/>
    <w:rsid w:val="008C309F"/>
    <w:rsid w:val="008C3D5B"/>
    <w:rsid w:val="008D01CB"/>
    <w:rsid w:val="008D08E1"/>
    <w:rsid w:val="008D1129"/>
    <w:rsid w:val="008D37CF"/>
    <w:rsid w:val="008D3B09"/>
    <w:rsid w:val="008D4143"/>
    <w:rsid w:val="008D5848"/>
    <w:rsid w:val="008D77C8"/>
    <w:rsid w:val="008D7A29"/>
    <w:rsid w:val="008E080F"/>
    <w:rsid w:val="008E3102"/>
    <w:rsid w:val="008E5568"/>
    <w:rsid w:val="008E7A28"/>
    <w:rsid w:val="008F0C2B"/>
    <w:rsid w:val="008F3025"/>
    <w:rsid w:val="008F3080"/>
    <w:rsid w:val="008F3DC3"/>
    <w:rsid w:val="008F4B13"/>
    <w:rsid w:val="008F5626"/>
    <w:rsid w:val="0090061D"/>
    <w:rsid w:val="00900A1C"/>
    <w:rsid w:val="00900B4F"/>
    <w:rsid w:val="00904BF2"/>
    <w:rsid w:val="009057C4"/>
    <w:rsid w:val="0090614E"/>
    <w:rsid w:val="009100F8"/>
    <w:rsid w:val="009114A7"/>
    <w:rsid w:val="0091307B"/>
    <w:rsid w:val="00914D97"/>
    <w:rsid w:val="0091543A"/>
    <w:rsid w:val="009200F5"/>
    <w:rsid w:val="00920F94"/>
    <w:rsid w:val="009213E2"/>
    <w:rsid w:val="00922BD5"/>
    <w:rsid w:val="00923015"/>
    <w:rsid w:val="009234CE"/>
    <w:rsid w:val="00923FF6"/>
    <w:rsid w:val="0092541C"/>
    <w:rsid w:val="00931B38"/>
    <w:rsid w:val="00936E27"/>
    <w:rsid w:val="00937192"/>
    <w:rsid w:val="00943709"/>
    <w:rsid w:val="009444F0"/>
    <w:rsid w:val="009455A6"/>
    <w:rsid w:val="009464D9"/>
    <w:rsid w:val="00946820"/>
    <w:rsid w:val="0095372B"/>
    <w:rsid w:val="00954058"/>
    <w:rsid w:val="00955016"/>
    <w:rsid w:val="00955821"/>
    <w:rsid w:val="00962CD6"/>
    <w:rsid w:val="00964AE4"/>
    <w:rsid w:val="00966C3A"/>
    <w:rsid w:val="00975AB0"/>
    <w:rsid w:val="00975C33"/>
    <w:rsid w:val="00975F19"/>
    <w:rsid w:val="00980144"/>
    <w:rsid w:val="0098023F"/>
    <w:rsid w:val="009812CF"/>
    <w:rsid w:val="00985543"/>
    <w:rsid w:val="0098673E"/>
    <w:rsid w:val="00987DA8"/>
    <w:rsid w:val="00990637"/>
    <w:rsid w:val="009925E7"/>
    <w:rsid w:val="009937F5"/>
    <w:rsid w:val="00994CF2"/>
    <w:rsid w:val="00996748"/>
    <w:rsid w:val="00997B78"/>
    <w:rsid w:val="009A012E"/>
    <w:rsid w:val="009A2D9F"/>
    <w:rsid w:val="009A3945"/>
    <w:rsid w:val="009A5CE0"/>
    <w:rsid w:val="009A5E99"/>
    <w:rsid w:val="009A6802"/>
    <w:rsid w:val="009A6911"/>
    <w:rsid w:val="009A79BF"/>
    <w:rsid w:val="009B411D"/>
    <w:rsid w:val="009B5779"/>
    <w:rsid w:val="009C233C"/>
    <w:rsid w:val="009C3D50"/>
    <w:rsid w:val="009C6339"/>
    <w:rsid w:val="009C6B7D"/>
    <w:rsid w:val="009C6C47"/>
    <w:rsid w:val="009C7794"/>
    <w:rsid w:val="009D32CA"/>
    <w:rsid w:val="009D5869"/>
    <w:rsid w:val="009E0DCF"/>
    <w:rsid w:val="009E666E"/>
    <w:rsid w:val="009F0458"/>
    <w:rsid w:val="009F29F5"/>
    <w:rsid w:val="009F47BB"/>
    <w:rsid w:val="009F58DD"/>
    <w:rsid w:val="009F62E0"/>
    <w:rsid w:val="009F7163"/>
    <w:rsid w:val="00A01812"/>
    <w:rsid w:val="00A024F2"/>
    <w:rsid w:val="00A04556"/>
    <w:rsid w:val="00A06553"/>
    <w:rsid w:val="00A10FE8"/>
    <w:rsid w:val="00A20DB6"/>
    <w:rsid w:val="00A2184E"/>
    <w:rsid w:val="00A220BF"/>
    <w:rsid w:val="00A23FEF"/>
    <w:rsid w:val="00A25457"/>
    <w:rsid w:val="00A273F3"/>
    <w:rsid w:val="00A27E8C"/>
    <w:rsid w:val="00A310C3"/>
    <w:rsid w:val="00A37D9F"/>
    <w:rsid w:val="00A37F66"/>
    <w:rsid w:val="00A41047"/>
    <w:rsid w:val="00A41061"/>
    <w:rsid w:val="00A44AB0"/>
    <w:rsid w:val="00A44FEB"/>
    <w:rsid w:val="00A4572D"/>
    <w:rsid w:val="00A45F62"/>
    <w:rsid w:val="00A47CCA"/>
    <w:rsid w:val="00A5033E"/>
    <w:rsid w:val="00A50BDD"/>
    <w:rsid w:val="00A534E1"/>
    <w:rsid w:val="00A5390F"/>
    <w:rsid w:val="00A5454B"/>
    <w:rsid w:val="00A54772"/>
    <w:rsid w:val="00A54E35"/>
    <w:rsid w:val="00A557A2"/>
    <w:rsid w:val="00A5630C"/>
    <w:rsid w:val="00A600E1"/>
    <w:rsid w:val="00A607C5"/>
    <w:rsid w:val="00A622F0"/>
    <w:rsid w:val="00A63CF4"/>
    <w:rsid w:val="00A63E0D"/>
    <w:rsid w:val="00A664EB"/>
    <w:rsid w:val="00A71154"/>
    <w:rsid w:val="00A7167C"/>
    <w:rsid w:val="00A77D90"/>
    <w:rsid w:val="00A802F3"/>
    <w:rsid w:val="00A818E8"/>
    <w:rsid w:val="00A83E20"/>
    <w:rsid w:val="00A87A4C"/>
    <w:rsid w:val="00A91587"/>
    <w:rsid w:val="00A92CA4"/>
    <w:rsid w:val="00AA01C7"/>
    <w:rsid w:val="00AA01D6"/>
    <w:rsid w:val="00AA0D63"/>
    <w:rsid w:val="00AA2E85"/>
    <w:rsid w:val="00AA3DB5"/>
    <w:rsid w:val="00AA47C1"/>
    <w:rsid w:val="00AA51F5"/>
    <w:rsid w:val="00AA5F01"/>
    <w:rsid w:val="00AA7198"/>
    <w:rsid w:val="00AB0CAD"/>
    <w:rsid w:val="00AB1426"/>
    <w:rsid w:val="00AB52B1"/>
    <w:rsid w:val="00AB6418"/>
    <w:rsid w:val="00AC0AE5"/>
    <w:rsid w:val="00AC289A"/>
    <w:rsid w:val="00AC28FB"/>
    <w:rsid w:val="00AD0322"/>
    <w:rsid w:val="00AD03D0"/>
    <w:rsid w:val="00AD1073"/>
    <w:rsid w:val="00AD1472"/>
    <w:rsid w:val="00AD3424"/>
    <w:rsid w:val="00AD4F7F"/>
    <w:rsid w:val="00AD5C2D"/>
    <w:rsid w:val="00AD634D"/>
    <w:rsid w:val="00AE2249"/>
    <w:rsid w:val="00AE3772"/>
    <w:rsid w:val="00AE4946"/>
    <w:rsid w:val="00AE535F"/>
    <w:rsid w:val="00AE672F"/>
    <w:rsid w:val="00AE6759"/>
    <w:rsid w:val="00AE7A65"/>
    <w:rsid w:val="00AF0D9D"/>
    <w:rsid w:val="00AF1E10"/>
    <w:rsid w:val="00AF5D6B"/>
    <w:rsid w:val="00AF7357"/>
    <w:rsid w:val="00B002BF"/>
    <w:rsid w:val="00B00D95"/>
    <w:rsid w:val="00B025C0"/>
    <w:rsid w:val="00B040C0"/>
    <w:rsid w:val="00B0711D"/>
    <w:rsid w:val="00B10CF3"/>
    <w:rsid w:val="00B11FED"/>
    <w:rsid w:val="00B13A48"/>
    <w:rsid w:val="00B16709"/>
    <w:rsid w:val="00B17068"/>
    <w:rsid w:val="00B173AB"/>
    <w:rsid w:val="00B17AF3"/>
    <w:rsid w:val="00B17C14"/>
    <w:rsid w:val="00B25304"/>
    <w:rsid w:val="00B25B4D"/>
    <w:rsid w:val="00B26AC0"/>
    <w:rsid w:val="00B26D48"/>
    <w:rsid w:val="00B311C1"/>
    <w:rsid w:val="00B317E5"/>
    <w:rsid w:val="00B31CC4"/>
    <w:rsid w:val="00B34A26"/>
    <w:rsid w:val="00B364C6"/>
    <w:rsid w:val="00B36ABF"/>
    <w:rsid w:val="00B4017A"/>
    <w:rsid w:val="00B4022E"/>
    <w:rsid w:val="00B478BB"/>
    <w:rsid w:val="00B5085F"/>
    <w:rsid w:val="00B5090D"/>
    <w:rsid w:val="00B50BDE"/>
    <w:rsid w:val="00B56715"/>
    <w:rsid w:val="00B56B2F"/>
    <w:rsid w:val="00B6098C"/>
    <w:rsid w:val="00B6185E"/>
    <w:rsid w:val="00B6288C"/>
    <w:rsid w:val="00B63765"/>
    <w:rsid w:val="00B655EA"/>
    <w:rsid w:val="00B66027"/>
    <w:rsid w:val="00B67531"/>
    <w:rsid w:val="00B70F3D"/>
    <w:rsid w:val="00B7195A"/>
    <w:rsid w:val="00B74F97"/>
    <w:rsid w:val="00B77E64"/>
    <w:rsid w:val="00B80235"/>
    <w:rsid w:val="00B819B6"/>
    <w:rsid w:val="00B84DFC"/>
    <w:rsid w:val="00B907A4"/>
    <w:rsid w:val="00B91A5F"/>
    <w:rsid w:val="00B91DF6"/>
    <w:rsid w:val="00B9248E"/>
    <w:rsid w:val="00B9687D"/>
    <w:rsid w:val="00B97772"/>
    <w:rsid w:val="00B97F2F"/>
    <w:rsid w:val="00BA223A"/>
    <w:rsid w:val="00BA2892"/>
    <w:rsid w:val="00BA4623"/>
    <w:rsid w:val="00BB0BD0"/>
    <w:rsid w:val="00BB1683"/>
    <w:rsid w:val="00BB4911"/>
    <w:rsid w:val="00BB5379"/>
    <w:rsid w:val="00BC30AE"/>
    <w:rsid w:val="00BC3C35"/>
    <w:rsid w:val="00BC4311"/>
    <w:rsid w:val="00BC48E3"/>
    <w:rsid w:val="00BC4CC2"/>
    <w:rsid w:val="00BC56A3"/>
    <w:rsid w:val="00BC6885"/>
    <w:rsid w:val="00BD01CD"/>
    <w:rsid w:val="00BD0DEE"/>
    <w:rsid w:val="00BD11FD"/>
    <w:rsid w:val="00BD3AD9"/>
    <w:rsid w:val="00BD7BAC"/>
    <w:rsid w:val="00BE3671"/>
    <w:rsid w:val="00BE575B"/>
    <w:rsid w:val="00BE7EEA"/>
    <w:rsid w:val="00BE7FC5"/>
    <w:rsid w:val="00BF21B3"/>
    <w:rsid w:val="00BF3A1E"/>
    <w:rsid w:val="00BF5B8F"/>
    <w:rsid w:val="00C005B2"/>
    <w:rsid w:val="00C00B6F"/>
    <w:rsid w:val="00C03431"/>
    <w:rsid w:val="00C03655"/>
    <w:rsid w:val="00C03683"/>
    <w:rsid w:val="00C0423F"/>
    <w:rsid w:val="00C066DE"/>
    <w:rsid w:val="00C06BE9"/>
    <w:rsid w:val="00C07910"/>
    <w:rsid w:val="00C10F29"/>
    <w:rsid w:val="00C1136E"/>
    <w:rsid w:val="00C1184A"/>
    <w:rsid w:val="00C11FB7"/>
    <w:rsid w:val="00C12098"/>
    <w:rsid w:val="00C13A9C"/>
    <w:rsid w:val="00C14094"/>
    <w:rsid w:val="00C15030"/>
    <w:rsid w:val="00C153EF"/>
    <w:rsid w:val="00C15A06"/>
    <w:rsid w:val="00C15A32"/>
    <w:rsid w:val="00C164AE"/>
    <w:rsid w:val="00C2065D"/>
    <w:rsid w:val="00C23CE2"/>
    <w:rsid w:val="00C25121"/>
    <w:rsid w:val="00C26A2B"/>
    <w:rsid w:val="00C306B6"/>
    <w:rsid w:val="00C32083"/>
    <w:rsid w:val="00C33B4C"/>
    <w:rsid w:val="00C36912"/>
    <w:rsid w:val="00C36A72"/>
    <w:rsid w:val="00C40830"/>
    <w:rsid w:val="00C412F3"/>
    <w:rsid w:val="00C4279A"/>
    <w:rsid w:val="00C448AE"/>
    <w:rsid w:val="00C457CA"/>
    <w:rsid w:val="00C4678B"/>
    <w:rsid w:val="00C50F16"/>
    <w:rsid w:val="00C519BA"/>
    <w:rsid w:val="00C51C2A"/>
    <w:rsid w:val="00C5310D"/>
    <w:rsid w:val="00C54559"/>
    <w:rsid w:val="00C5510B"/>
    <w:rsid w:val="00C55766"/>
    <w:rsid w:val="00C57096"/>
    <w:rsid w:val="00C65C87"/>
    <w:rsid w:val="00C66B3F"/>
    <w:rsid w:val="00C7023C"/>
    <w:rsid w:val="00C722B3"/>
    <w:rsid w:val="00C7355B"/>
    <w:rsid w:val="00C73DFA"/>
    <w:rsid w:val="00C76215"/>
    <w:rsid w:val="00C810F1"/>
    <w:rsid w:val="00C82E94"/>
    <w:rsid w:val="00C84E26"/>
    <w:rsid w:val="00C85A7B"/>
    <w:rsid w:val="00C86E63"/>
    <w:rsid w:val="00C87CD1"/>
    <w:rsid w:val="00C91D23"/>
    <w:rsid w:val="00C92D37"/>
    <w:rsid w:val="00C948D3"/>
    <w:rsid w:val="00C95587"/>
    <w:rsid w:val="00CA1F87"/>
    <w:rsid w:val="00CA232F"/>
    <w:rsid w:val="00CA4DE6"/>
    <w:rsid w:val="00CA5159"/>
    <w:rsid w:val="00CA5BAD"/>
    <w:rsid w:val="00CB1533"/>
    <w:rsid w:val="00CB1714"/>
    <w:rsid w:val="00CB5550"/>
    <w:rsid w:val="00CC0627"/>
    <w:rsid w:val="00CC1CB6"/>
    <w:rsid w:val="00CC367D"/>
    <w:rsid w:val="00CC3AEF"/>
    <w:rsid w:val="00CE0C5B"/>
    <w:rsid w:val="00CE0CA0"/>
    <w:rsid w:val="00CE197C"/>
    <w:rsid w:val="00CE1C67"/>
    <w:rsid w:val="00CE4F20"/>
    <w:rsid w:val="00CE5710"/>
    <w:rsid w:val="00CF04D1"/>
    <w:rsid w:val="00CF0E52"/>
    <w:rsid w:val="00CF36F2"/>
    <w:rsid w:val="00CF55FD"/>
    <w:rsid w:val="00CF6975"/>
    <w:rsid w:val="00CF74C5"/>
    <w:rsid w:val="00D0153E"/>
    <w:rsid w:val="00D02146"/>
    <w:rsid w:val="00D037AC"/>
    <w:rsid w:val="00D04F07"/>
    <w:rsid w:val="00D04FB4"/>
    <w:rsid w:val="00D05C21"/>
    <w:rsid w:val="00D0696D"/>
    <w:rsid w:val="00D10DF5"/>
    <w:rsid w:val="00D124F0"/>
    <w:rsid w:val="00D1505C"/>
    <w:rsid w:val="00D17C3F"/>
    <w:rsid w:val="00D21AE9"/>
    <w:rsid w:val="00D21B18"/>
    <w:rsid w:val="00D222AF"/>
    <w:rsid w:val="00D22B33"/>
    <w:rsid w:val="00D24D89"/>
    <w:rsid w:val="00D2508F"/>
    <w:rsid w:val="00D27025"/>
    <w:rsid w:val="00D27790"/>
    <w:rsid w:val="00D279E2"/>
    <w:rsid w:val="00D3085D"/>
    <w:rsid w:val="00D31E9A"/>
    <w:rsid w:val="00D33784"/>
    <w:rsid w:val="00D36D5E"/>
    <w:rsid w:val="00D36E73"/>
    <w:rsid w:val="00D42E0B"/>
    <w:rsid w:val="00D46E83"/>
    <w:rsid w:val="00D51279"/>
    <w:rsid w:val="00D5127E"/>
    <w:rsid w:val="00D52B21"/>
    <w:rsid w:val="00D543AC"/>
    <w:rsid w:val="00D545BC"/>
    <w:rsid w:val="00D54C48"/>
    <w:rsid w:val="00D54CF6"/>
    <w:rsid w:val="00D573E5"/>
    <w:rsid w:val="00D62350"/>
    <w:rsid w:val="00D64749"/>
    <w:rsid w:val="00D67B3C"/>
    <w:rsid w:val="00D71B69"/>
    <w:rsid w:val="00D725EF"/>
    <w:rsid w:val="00D74077"/>
    <w:rsid w:val="00D74EA3"/>
    <w:rsid w:val="00D80D82"/>
    <w:rsid w:val="00D80E15"/>
    <w:rsid w:val="00D8736B"/>
    <w:rsid w:val="00D9042B"/>
    <w:rsid w:val="00D92BDB"/>
    <w:rsid w:val="00D93B28"/>
    <w:rsid w:val="00D95DEA"/>
    <w:rsid w:val="00D97301"/>
    <w:rsid w:val="00DA0658"/>
    <w:rsid w:val="00DA2340"/>
    <w:rsid w:val="00DA25B4"/>
    <w:rsid w:val="00DA43B8"/>
    <w:rsid w:val="00DA589F"/>
    <w:rsid w:val="00DA73C9"/>
    <w:rsid w:val="00DA7975"/>
    <w:rsid w:val="00DB0BAD"/>
    <w:rsid w:val="00DB23E7"/>
    <w:rsid w:val="00DB6EAA"/>
    <w:rsid w:val="00DC0438"/>
    <w:rsid w:val="00DC3C04"/>
    <w:rsid w:val="00DC5745"/>
    <w:rsid w:val="00DD1105"/>
    <w:rsid w:val="00DD42B7"/>
    <w:rsid w:val="00DD4316"/>
    <w:rsid w:val="00DD6116"/>
    <w:rsid w:val="00DD615B"/>
    <w:rsid w:val="00DE30D8"/>
    <w:rsid w:val="00DE4EBF"/>
    <w:rsid w:val="00DE58D9"/>
    <w:rsid w:val="00DE6E6E"/>
    <w:rsid w:val="00DE77D2"/>
    <w:rsid w:val="00DE7EC4"/>
    <w:rsid w:val="00DF2EA4"/>
    <w:rsid w:val="00DF3F2D"/>
    <w:rsid w:val="00DF4784"/>
    <w:rsid w:val="00DF5330"/>
    <w:rsid w:val="00DF738E"/>
    <w:rsid w:val="00E01080"/>
    <w:rsid w:val="00E031E5"/>
    <w:rsid w:val="00E038EA"/>
    <w:rsid w:val="00E04545"/>
    <w:rsid w:val="00E049CF"/>
    <w:rsid w:val="00E06704"/>
    <w:rsid w:val="00E06784"/>
    <w:rsid w:val="00E0696E"/>
    <w:rsid w:val="00E06FF4"/>
    <w:rsid w:val="00E116CA"/>
    <w:rsid w:val="00E125DA"/>
    <w:rsid w:val="00E135D9"/>
    <w:rsid w:val="00E14F92"/>
    <w:rsid w:val="00E20B59"/>
    <w:rsid w:val="00E242F2"/>
    <w:rsid w:val="00E24C39"/>
    <w:rsid w:val="00E25A12"/>
    <w:rsid w:val="00E2752E"/>
    <w:rsid w:val="00E278A5"/>
    <w:rsid w:val="00E30D5A"/>
    <w:rsid w:val="00E31636"/>
    <w:rsid w:val="00E358DA"/>
    <w:rsid w:val="00E364FB"/>
    <w:rsid w:val="00E36743"/>
    <w:rsid w:val="00E37ED8"/>
    <w:rsid w:val="00E409E6"/>
    <w:rsid w:val="00E4190C"/>
    <w:rsid w:val="00E42FBC"/>
    <w:rsid w:val="00E43276"/>
    <w:rsid w:val="00E45A90"/>
    <w:rsid w:val="00E45BCC"/>
    <w:rsid w:val="00E475BB"/>
    <w:rsid w:val="00E50E4F"/>
    <w:rsid w:val="00E5352F"/>
    <w:rsid w:val="00E53BA1"/>
    <w:rsid w:val="00E53CF0"/>
    <w:rsid w:val="00E54955"/>
    <w:rsid w:val="00E5549A"/>
    <w:rsid w:val="00E568F5"/>
    <w:rsid w:val="00E575C5"/>
    <w:rsid w:val="00E60D3C"/>
    <w:rsid w:val="00E657DD"/>
    <w:rsid w:val="00E67FEC"/>
    <w:rsid w:val="00E71B0E"/>
    <w:rsid w:val="00E722ED"/>
    <w:rsid w:val="00E72A68"/>
    <w:rsid w:val="00E73AB5"/>
    <w:rsid w:val="00E74896"/>
    <w:rsid w:val="00E74ED5"/>
    <w:rsid w:val="00E75F8A"/>
    <w:rsid w:val="00E81B16"/>
    <w:rsid w:val="00E823BA"/>
    <w:rsid w:val="00E82802"/>
    <w:rsid w:val="00E848A6"/>
    <w:rsid w:val="00E85609"/>
    <w:rsid w:val="00E85869"/>
    <w:rsid w:val="00E87570"/>
    <w:rsid w:val="00E90198"/>
    <w:rsid w:val="00E9034D"/>
    <w:rsid w:val="00E94FCD"/>
    <w:rsid w:val="00EA0C6D"/>
    <w:rsid w:val="00EA17F9"/>
    <w:rsid w:val="00EA1E88"/>
    <w:rsid w:val="00EA3ED0"/>
    <w:rsid w:val="00EB0365"/>
    <w:rsid w:val="00EB2001"/>
    <w:rsid w:val="00EC6739"/>
    <w:rsid w:val="00ED1322"/>
    <w:rsid w:val="00ED217F"/>
    <w:rsid w:val="00ED3A8A"/>
    <w:rsid w:val="00EE0E70"/>
    <w:rsid w:val="00EE1938"/>
    <w:rsid w:val="00EE197C"/>
    <w:rsid w:val="00EF02F9"/>
    <w:rsid w:val="00EF19C9"/>
    <w:rsid w:val="00EF4A17"/>
    <w:rsid w:val="00EF5AFE"/>
    <w:rsid w:val="00EF7724"/>
    <w:rsid w:val="00EF7B54"/>
    <w:rsid w:val="00F0265F"/>
    <w:rsid w:val="00F053F3"/>
    <w:rsid w:val="00F0544A"/>
    <w:rsid w:val="00F05825"/>
    <w:rsid w:val="00F07DA4"/>
    <w:rsid w:val="00F07EFB"/>
    <w:rsid w:val="00F12FF4"/>
    <w:rsid w:val="00F144E9"/>
    <w:rsid w:val="00F151B6"/>
    <w:rsid w:val="00F159D9"/>
    <w:rsid w:val="00F15B5E"/>
    <w:rsid w:val="00F163F8"/>
    <w:rsid w:val="00F21396"/>
    <w:rsid w:val="00F2171D"/>
    <w:rsid w:val="00F23FE4"/>
    <w:rsid w:val="00F24C92"/>
    <w:rsid w:val="00F25018"/>
    <w:rsid w:val="00F2663D"/>
    <w:rsid w:val="00F344DD"/>
    <w:rsid w:val="00F34B84"/>
    <w:rsid w:val="00F3643D"/>
    <w:rsid w:val="00F37A4E"/>
    <w:rsid w:val="00F37D2B"/>
    <w:rsid w:val="00F41268"/>
    <w:rsid w:val="00F42FDE"/>
    <w:rsid w:val="00F43673"/>
    <w:rsid w:val="00F46300"/>
    <w:rsid w:val="00F469F0"/>
    <w:rsid w:val="00F4793B"/>
    <w:rsid w:val="00F5285D"/>
    <w:rsid w:val="00F56C22"/>
    <w:rsid w:val="00F57172"/>
    <w:rsid w:val="00F577FF"/>
    <w:rsid w:val="00F60E88"/>
    <w:rsid w:val="00F62367"/>
    <w:rsid w:val="00F6236A"/>
    <w:rsid w:val="00F63073"/>
    <w:rsid w:val="00F63CEF"/>
    <w:rsid w:val="00F654A8"/>
    <w:rsid w:val="00F71C59"/>
    <w:rsid w:val="00F71FFB"/>
    <w:rsid w:val="00F7209C"/>
    <w:rsid w:val="00F72DF1"/>
    <w:rsid w:val="00F73C90"/>
    <w:rsid w:val="00F741AE"/>
    <w:rsid w:val="00F74422"/>
    <w:rsid w:val="00F75B5C"/>
    <w:rsid w:val="00F81D22"/>
    <w:rsid w:val="00F851FE"/>
    <w:rsid w:val="00F855BA"/>
    <w:rsid w:val="00F92051"/>
    <w:rsid w:val="00F934EE"/>
    <w:rsid w:val="00F96BEC"/>
    <w:rsid w:val="00F9720B"/>
    <w:rsid w:val="00F97F03"/>
    <w:rsid w:val="00FA176E"/>
    <w:rsid w:val="00FA213F"/>
    <w:rsid w:val="00FA4723"/>
    <w:rsid w:val="00FA473C"/>
    <w:rsid w:val="00FA4B57"/>
    <w:rsid w:val="00FA4C04"/>
    <w:rsid w:val="00FA7101"/>
    <w:rsid w:val="00FB53AA"/>
    <w:rsid w:val="00FC378A"/>
    <w:rsid w:val="00FC69EF"/>
    <w:rsid w:val="00FC7D5C"/>
    <w:rsid w:val="00FD03D5"/>
    <w:rsid w:val="00FD0CF5"/>
    <w:rsid w:val="00FD1FEC"/>
    <w:rsid w:val="00FD3380"/>
    <w:rsid w:val="00FD3F96"/>
    <w:rsid w:val="00FD5C51"/>
    <w:rsid w:val="00FE5AEE"/>
    <w:rsid w:val="00FE6614"/>
    <w:rsid w:val="00FF3245"/>
    <w:rsid w:val="00FF3313"/>
    <w:rsid w:val="00FF4A00"/>
    <w:rsid w:val="00FF72F2"/>
    <w:rsid w:val="00FF73B4"/>
    <w:rsid w:val="00FF7B3A"/>
    <w:rsid w:val="014E3A2E"/>
    <w:rsid w:val="01582DE9"/>
    <w:rsid w:val="018EAC4C"/>
    <w:rsid w:val="01CDB986"/>
    <w:rsid w:val="023EB8DC"/>
    <w:rsid w:val="03284706"/>
    <w:rsid w:val="036D7A63"/>
    <w:rsid w:val="038A9ECF"/>
    <w:rsid w:val="0596C477"/>
    <w:rsid w:val="098DE02F"/>
    <w:rsid w:val="0AEFB5B0"/>
    <w:rsid w:val="0C59B8F1"/>
    <w:rsid w:val="0C76F822"/>
    <w:rsid w:val="0CF959AF"/>
    <w:rsid w:val="0D90A718"/>
    <w:rsid w:val="0DB35110"/>
    <w:rsid w:val="0DD2C555"/>
    <w:rsid w:val="10A45AAD"/>
    <w:rsid w:val="123C1D33"/>
    <w:rsid w:val="12909205"/>
    <w:rsid w:val="1361B302"/>
    <w:rsid w:val="13AB0171"/>
    <w:rsid w:val="1542EBEE"/>
    <w:rsid w:val="1546D1D2"/>
    <w:rsid w:val="1896359A"/>
    <w:rsid w:val="19610B2C"/>
    <w:rsid w:val="19C572F0"/>
    <w:rsid w:val="1A349D1F"/>
    <w:rsid w:val="1ABFCC40"/>
    <w:rsid w:val="1DEA2DB8"/>
    <w:rsid w:val="1DF467BA"/>
    <w:rsid w:val="1DFDBB5E"/>
    <w:rsid w:val="1F4F85B3"/>
    <w:rsid w:val="1F72DD3D"/>
    <w:rsid w:val="2079CC3D"/>
    <w:rsid w:val="214F8B34"/>
    <w:rsid w:val="22914ACB"/>
    <w:rsid w:val="22DC4ABB"/>
    <w:rsid w:val="2326F96F"/>
    <w:rsid w:val="2330CC07"/>
    <w:rsid w:val="23FA49BB"/>
    <w:rsid w:val="245AFE1E"/>
    <w:rsid w:val="25642F04"/>
    <w:rsid w:val="283EDF6A"/>
    <w:rsid w:val="2885912E"/>
    <w:rsid w:val="29C26E5D"/>
    <w:rsid w:val="2A3430F8"/>
    <w:rsid w:val="2BCB4D77"/>
    <w:rsid w:val="2BD03EC2"/>
    <w:rsid w:val="2C8ED944"/>
    <w:rsid w:val="2C987DAE"/>
    <w:rsid w:val="2CA2AE69"/>
    <w:rsid w:val="2ED47D7B"/>
    <w:rsid w:val="312B6E9A"/>
    <w:rsid w:val="312C90BA"/>
    <w:rsid w:val="31765CF5"/>
    <w:rsid w:val="33E66EF8"/>
    <w:rsid w:val="345D06E4"/>
    <w:rsid w:val="348F70F2"/>
    <w:rsid w:val="34FA7C8A"/>
    <w:rsid w:val="38B9E01B"/>
    <w:rsid w:val="3B8941CC"/>
    <w:rsid w:val="3CB4E1B7"/>
    <w:rsid w:val="3CFEF812"/>
    <w:rsid w:val="3D18206F"/>
    <w:rsid w:val="3DA61C02"/>
    <w:rsid w:val="3E36DF4A"/>
    <w:rsid w:val="3F12ADEC"/>
    <w:rsid w:val="3FCEC790"/>
    <w:rsid w:val="404A373D"/>
    <w:rsid w:val="418974B6"/>
    <w:rsid w:val="4667A1FF"/>
    <w:rsid w:val="4737B0F1"/>
    <w:rsid w:val="4803AFC9"/>
    <w:rsid w:val="48282948"/>
    <w:rsid w:val="483B1063"/>
    <w:rsid w:val="490475A3"/>
    <w:rsid w:val="49517224"/>
    <w:rsid w:val="498F4389"/>
    <w:rsid w:val="4A4F23AF"/>
    <w:rsid w:val="4AFCDAC9"/>
    <w:rsid w:val="4C3C1F75"/>
    <w:rsid w:val="4F0798D5"/>
    <w:rsid w:val="4F7FBC29"/>
    <w:rsid w:val="51407F91"/>
    <w:rsid w:val="5157DC64"/>
    <w:rsid w:val="523AD8E1"/>
    <w:rsid w:val="52A086E9"/>
    <w:rsid w:val="532017F1"/>
    <w:rsid w:val="532CFCAA"/>
    <w:rsid w:val="548A94B2"/>
    <w:rsid w:val="56D6C4AE"/>
    <w:rsid w:val="5717DB78"/>
    <w:rsid w:val="5ACE397A"/>
    <w:rsid w:val="5BAA35D1"/>
    <w:rsid w:val="5D703695"/>
    <w:rsid w:val="5F0D9630"/>
    <w:rsid w:val="5FA1AA9D"/>
    <w:rsid w:val="6016DC67"/>
    <w:rsid w:val="60224A2F"/>
    <w:rsid w:val="63529D04"/>
    <w:rsid w:val="63EA3820"/>
    <w:rsid w:val="650B6272"/>
    <w:rsid w:val="685856C0"/>
    <w:rsid w:val="686B3B59"/>
    <w:rsid w:val="69C36416"/>
    <w:rsid w:val="6ACC10CB"/>
    <w:rsid w:val="6B005440"/>
    <w:rsid w:val="6D3E1511"/>
    <w:rsid w:val="6ED781B1"/>
    <w:rsid w:val="6EF3E9E3"/>
    <w:rsid w:val="6F79F323"/>
    <w:rsid w:val="7008E0C1"/>
    <w:rsid w:val="700D36DF"/>
    <w:rsid w:val="72415B57"/>
    <w:rsid w:val="7353F063"/>
    <w:rsid w:val="747A04B3"/>
    <w:rsid w:val="74D03679"/>
    <w:rsid w:val="75DDECF4"/>
    <w:rsid w:val="7630F4A2"/>
    <w:rsid w:val="769A7B4D"/>
    <w:rsid w:val="78216ED7"/>
    <w:rsid w:val="7A2E5A08"/>
    <w:rsid w:val="7CE3407C"/>
    <w:rsid w:val="7D4D308B"/>
    <w:rsid w:val="7D8B4948"/>
    <w:rsid w:val="7E480E38"/>
    <w:rsid w:val="7F4B5A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width-percent:385;mso-width-relative:margin;mso-height-relative:margin" fillcolor="none [3214]" stroke="f">
      <v:fill color="none [3214]"/>
      <v:stroke weight=".5pt" on="f"/>
      <v:textbox style="mso-fit-shape-to-text:t" inset=",0,,0"/>
    </o:shapedefaults>
    <o:shapelayout v:ext="edit">
      <o:idmap v:ext="edit" data="2"/>
    </o:shapelayout>
  </w:shapeDefaults>
  <w:decimalSymbol w:val="."/>
  <w:listSeparator w:val=","/>
  <w14:docId w14:val="0288F65D"/>
  <w15:docId w15:val="{0AEAD529-686F-2548-A1D1-5FA832F2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A28"/>
    <w:pPr>
      <w:adjustRightInd w:val="0"/>
      <w:snapToGrid w:val="0"/>
      <w:spacing w:after="240" w:line="264" w:lineRule="auto"/>
    </w:pPr>
    <w:rPr>
      <w:rFonts w:ascii="Arial" w:hAnsi="Arial"/>
      <w:color w:val="00000A"/>
      <w:sz w:val="22"/>
    </w:rPr>
  </w:style>
  <w:style w:type="paragraph" w:styleId="Heading1">
    <w:name w:val="heading 1"/>
    <w:link w:val="Heading1Char"/>
    <w:uiPriority w:val="9"/>
    <w:qFormat/>
    <w:rsid w:val="00545EB8"/>
    <w:pPr>
      <w:snapToGrid w:val="0"/>
      <w:spacing w:before="360" w:after="180" w:line="264" w:lineRule="auto"/>
      <w:outlineLvl w:val="0"/>
    </w:pPr>
    <w:rPr>
      <w:rFonts w:ascii="Arial" w:eastAsia="Times New Roman" w:hAnsi="Arial"/>
      <w:b/>
      <w:bCs/>
      <w:color w:val="00AD86"/>
      <w:sz w:val="30"/>
    </w:rPr>
  </w:style>
  <w:style w:type="paragraph" w:styleId="Heading2">
    <w:name w:val="heading 2"/>
    <w:next w:val="Normal"/>
    <w:link w:val="Heading2Char"/>
    <w:uiPriority w:val="9"/>
    <w:unhideWhenUsed/>
    <w:qFormat/>
    <w:rsid w:val="00D10DF5"/>
    <w:pPr>
      <w:keepNext/>
      <w:keepLines/>
      <w:snapToGrid w:val="0"/>
      <w:spacing w:after="180" w:line="264" w:lineRule="auto"/>
      <w:outlineLvl w:val="1"/>
    </w:pPr>
    <w:rPr>
      <w:rFonts w:ascii="Arial" w:eastAsia="Times New Roman" w:hAnsi="Arial"/>
      <w:b/>
      <w:sz w:val="27"/>
      <w:lang w:eastAsia="en-GB" w:bidi="ar-SA"/>
    </w:rPr>
  </w:style>
  <w:style w:type="paragraph" w:styleId="Heading3">
    <w:name w:val="heading 3"/>
    <w:next w:val="Normal"/>
    <w:link w:val="Heading3Char"/>
    <w:uiPriority w:val="9"/>
    <w:unhideWhenUsed/>
    <w:qFormat/>
    <w:rsid w:val="009F29F5"/>
    <w:pPr>
      <w:shd w:val="clear" w:color="auto" w:fill="FFFFFF"/>
      <w:snapToGrid w:val="0"/>
      <w:spacing w:after="60"/>
      <w:outlineLvl w:val="2"/>
    </w:pPr>
    <w:rPr>
      <w:rFonts w:ascii="Arial" w:eastAsia="Times New Roman" w:hAnsi="Arial"/>
      <w:b/>
      <w:color w:val="8E3062" w:themeColor="accent3"/>
      <w:sz w:val="24"/>
      <w:lang w:eastAsia="en-GB" w:bidi="ar-SA"/>
    </w:rPr>
  </w:style>
  <w:style w:type="paragraph" w:styleId="Heading4">
    <w:name w:val="heading 4"/>
    <w:next w:val="Normal"/>
    <w:link w:val="Heading4Char"/>
    <w:uiPriority w:val="9"/>
    <w:semiHidden/>
    <w:unhideWhenUsed/>
    <w:rsid w:val="00955016"/>
    <w:pPr>
      <w:keepNext/>
      <w:keepLines/>
      <w:spacing w:before="40"/>
      <w:outlineLvl w:val="3"/>
    </w:pPr>
    <w:rPr>
      <w:rFonts w:asciiTheme="majorHAnsi" w:eastAsiaTheme="majorEastAsia" w:hAnsiTheme="majorHAnsi" w:cs="Mangal"/>
      <w:i/>
      <w:iCs/>
      <w:color w:val="008163"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717AC"/>
    <w:rPr>
      <w:color w:val="000080"/>
      <w:u w:val="single"/>
    </w:rPr>
  </w:style>
  <w:style w:type="paragraph" w:customStyle="1" w:styleId="Heading">
    <w:name w:val="Heading"/>
    <w:basedOn w:val="Normal"/>
    <w:next w:val="Normal"/>
    <w:rsid w:val="000717AC"/>
    <w:pPr>
      <w:keepNext/>
      <w:spacing w:before="240" w:after="120"/>
    </w:pPr>
    <w:rPr>
      <w:rFonts w:ascii="Liberation Sans" w:eastAsia="Microsoft YaHei" w:hAnsi="Liberation Sans"/>
      <w:sz w:val="28"/>
      <w:szCs w:val="28"/>
    </w:rPr>
  </w:style>
  <w:style w:type="paragraph" w:styleId="List">
    <w:name w:val="List"/>
    <w:basedOn w:val="Normal"/>
    <w:rsid w:val="00955821"/>
    <w:pPr>
      <w:spacing w:after="140" w:line="288" w:lineRule="auto"/>
    </w:pPr>
  </w:style>
  <w:style w:type="paragraph" w:customStyle="1" w:styleId="Index">
    <w:name w:val="Index"/>
    <w:rsid w:val="000717AC"/>
    <w:rPr>
      <w:rFonts w:ascii="Arial" w:hAnsi="Arial"/>
      <w:noProof/>
      <w:color w:val="00000A"/>
      <w:sz w:val="24"/>
      <w:lang w:eastAsia="en-GB" w:bidi="ar-SA"/>
    </w:rPr>
  </w:style>
  <w:style w:type="paragraph" w:styleId="Footer">
    <w:name w:val="footer"/>
    <w:basedOn w:val="Normal"/>
    <w:rsid w:val="000717AC"/>
    <w:pPr>
      <w:suppressLineNumbers/>
      <w:tabs>
        <w:tab w:val="center" w:pos="4819"/>
        <w:tab w:val="right" w:pos="9638"/>
      </w:tabs>
    </w:pPr>
  </w:style>
  <w:style w:type="paragraph" w:customStyle="1" w:styleId="FrameContents">
    <w:name w:val="Frame Contents"/>
    <w:basedOn w:val="Normal"/>
    <w:rsid w:val="000717AC"/>
    <w:pPr>
      <w:spacing w:after="0"/>
    </w:pPr>
    <w:rPr>
      <w:b/>
      <w:bCs/>
      <w:color w:val="FFFFFF"/>
    </w:rPr>
  </w:style>
  <w:style w:type="character" w:styleId="Hyperlink">
    <w:name w:val="Hyperlink"/>
    <w:uiPriority w:val="99"/>
    <w:unhideWhenUsed/>
    <w:rsid w:val="000717AC"/>
    <w:rPr>
      <w:color w:val="00B084"/>
      <w:u w:val="single"/>
    </w:rPr>
  </w:style>
  <w:style w:type="paragraph" w:styleId="ListParagraph">
    <w:name w:val="List Paragraph"/>
    <w:basedOn w:val="Normal"/>
    <w:uiPriority w:val="34"/>
    <w:qFormat/>
    <w:rsid w:val="003F5184"/>
    <w:pPr>
      <w:numPr>
        <w:numId w:val="5"/>
      </w:numPr>
      <w:contextualSpacing/>
    </w:pPr>
    <w:rPr>
      <w:rFonts w:eastAsia="Arial"/>
      <w:color w:val="auto"/>
      <w:szCs w:val="22"/>
      <w:lang w:eastAsia="en-US" w:bidi="ar-SA"/>
    </w:rPr>
  </w:style>
  <w:style w:type="character" w:customStyle="1" w:styleId="Heading1Char">
    <w:name w:val="Heading 1 Char"/>
    <w:link w:val="Heading1"/>
    <w:uiPriority w:val="9"/>
    <w:rsid w:val="00545EB8"/>
    <w:rPr>
      <w:rFonts w:ascii="Arial" w:eastAsia="Times New Roman" w:hAnsi="Arial"/>
      <w:b/>
      <w:bCs/>
      <w:color w:val="00AD86"/>
      <w:sz w:val="30"/>
      <w:lang w:val="fr-FR"/>
    </w:rPr>
  </w:style>
  <w:style w:type="paragraph" w:styleId="EndnoteText">
    <w:name w:val="endnote text"/>
    <w:basedOn w:val="Normal"/>
    <w:link w:val="EndnoteTextChar"/>
    <w:rsid w:val="000717AC"/>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0"/>
      <w:szCs w:val="20"/>
      <w:u w:color="000000"/>
      <w:lang w:eastAsia="en-US" w:bidi="ar-SA"/>
    </w:rPr>
  </w:style>
  <w:style w:type="character" w:customStyle="1" w:styleId="EndnoteTextChar">
    <w:name w:val="Endnote Text Char"/>
    <w:link w:val="EndnoteText"/>
    <w:rsid w:val="000717AC"/>
    <w:rPr>
      <w:rFonts w:ascii="Calibri" w:eastAsia="Times New Roman" w:hAnsi="Calibri" w:cs="Calibri"/>
      <w:color w:val="000000"/>
      <w:szCs w:val="20"/>
      <w:u w:color="000000"/>
      <w:lang w:val="fr-FR" w:eastAsia="en-US" w:bidi="ar-SA"/>
    </w:rPr>
  </w:style>
  <w:style w:type="character" w:customStyle="1" w:styleId="Link">
    <w:name w:val="Link"/>
    <w:rsid w:val="000717AC"/>
    <w:rPr>
      <w:color w:val="0563C1"/>
      <w:u w:val="single" w:color="0563C1"/>
    </w:rPr>
  </w:style>
  <w:style w:type="character" w:customStyle="1" w:styleId="Hyperlink1">
    <w:name w:val="Hyperlink.1"/>
    <w:rsid w:val="000717AC"/>
    <w:rPr>
      <w:rFonts w:cs="Times New Roman"/>
      <w:color w:val="000000"/>
      <w:u w:val="single" w:color="000000"/>
    </w:rPr>
  </w:style>
  <w:style w:type="character" w:customStyle="1" w:styleId="Hyperlink0">
    <w:name w:val="Hyperlink.0"/>
    <w:rsid w:val="000717AC"/>
    <w:rPr>
      <w:rFonts w:cs="Times New Roman"/>
      <w:color w:val="000000"/>
      <w:u w:val="single" w:color="000000"/>
    </w:rPr>
  </w:style>
  <w:style w:type="paragraph" w:styleId="BalloonText">
    <w:name w:val="Balloon Text"/>
    <w:basedOn w:val="Normal"/>
    <w:link w:val="BalloonTextChar"/>
    <w:uiPriority w:val="99"/>
    <w:semiHidden/>
    <w:unhideWhenUsed/>
    <w:rsid w:val="000717AC"/>
    <w:rPr>
      <w:rFonts w:ascii="Tahoma" w:hAnsi="Tahoma" w:cs="Mangal"/>
      <w:sz w:val="16"/>
      <w:szCs w:val="14"/>
    </w:rPr>
  </w:style>
  <w:style w:type="character" w:customStyle="1" w:styleId="BalloonTextChar">
    <w:name w:val="Balloon Text Char"/>
    <w:link w:val="BalloonText"/>
    <w:uiPriority w:val="99"/>
    <w:semiHidden/>
    <w:rsid w:val="000717AC"/>
    <w:rPr>
      <w:rFonts w:ascii="Tahoma" w:hAnsi="Tahoma" w:cs="Mangal"/>
      <w:color w:val="00000A"/>
      <w:sz w:val="16"/>
      <w:szCs w:val="14"/>
    </w:rPr>
  </w:style>
  <w:style w:type="character" w:styleId="CommentReference">
    <w:name w:val="annotation reference"/>
    <w:uiPriority w:val="99"/>
    <w:semiHidden/>
    <w:unhideWhenUsed/>
    <w:rsid w:val="000717AC"/>
    <w:rPr>
      <w:sz w:val="16"/>
      <w:szCs w:val="16"/>
    </w:rPr>
  </w:style>
  <w:style w:type="paragraph" w:styleId="CommentSubject">
    <w:name w:val="annotation subject"/>
    <w:basedOn w:val="Normal"/>
    <w:next w:val="Normal"/>
    <w:link w:val="CommentSubjectChar"/>
    <w:uiPriority w:val="99"/>
    <w:semiHidden/>
    <w:unhideWhenUsed/>
    <w:rsid w:val="00E90198"/>
    <w:rPr>
      <w:rFonts w:cs="Mangal"/>
      <w:b/>
      <w:bCs/>
      <w:sz w:val="20"/>
      <w:szCs w:val="18"/>
    </w:rPr>
  </w:style>
  <w:style w:type="character" w:customStyle="1" w:styleId="CommentSubjectChar">
    <w:name w:val="Comment Subject Char"/>
    <w:link w:val="CommentSubject"/>
    <w:uiPriority w:val="99"/>
    <w:semiHidden/>
    <w:rsid w:val="000717AC"/>
    <w:rPr>
      <w:rFonts w:ascii="Arial" w:hAnsi="Arial" w:cs="Mangal"/>
      <w:b/>
      <w:bCs/>
      <w:color w:val="00000A"/>
      <w:szCs w:val="18"/>
    </w:rPr>
  </w:style>
  <w:style w:type="character" w:customStyle="1" w:styleId="Heading2Char">
    <w:name w:val="Heading 2 Char"/>
    <w:link w:val="Heading2"/>
    <w:uiPriority w:val="9"/>
    <w:rsid w:val="00D10DF5"/>
    <w:rPr>
      <w:rFonts w:ascii="Arial" w:eastAsia="Times New Roman" w:hAnsi="Arial"/>
      <w:b/>
      <w:sz w:val="27"/>
      <w:lang w:eastAsia="en-GB" w:bidi="ar-SA"/>
    </w:rPr>
  </w:style>
  <w:style w:type="character" w:customStyle="1" w:styleId="Heading3Char">
    <w:name w:val="Heading 3 Char"/>
    <w:link w:val="Heading3"/>
    <w:uiPriority w:val="9"/>
    <w:rsid w:val="009F29F5"/>
    <w:rPr>
      <w:rFonts w:ascii="Arial" w:eastAsia="Times New Roman" w:hAnsi="Arial"/>
      <w:b/>
      <w:color w:val="8E3062" w:themeColor="accent3"/>
      <w:sz w:val="24"/>
      <w:shd w:val="clear" w:color="auto" w:fill="FFFFFF"/>
      <w:lang w:eastAsia="en-GB" w:bidi="ar-SA"/>
    </w:rPr>
  </w:style>
  <w:style w:type="character" w:styleId="EndnoteReference">
    <w:name w:val="endnote reference"/>
    <w:uiPriority w:val="99"/>
    <w:semiHidden/>
    <w:unhideWhenUsed/>
    <w:rsid w:val="00A5454B"/>
    <w:rPr>
      <w:rFonts w:ascii="Arial" w:hAnsi="Arial"/>
      <w:b w:val="0"/>
      <w:color w:val="00AD86"/>
      <w:vertAlign w:val="superscript"/>
    </w:rPr>
  </w:style>
  <w:style w:type="character" w:styleId="UnresolvedMention">
    <w:name w:val="Unresolved Mention"/>
    <w:uiPriority w:val="99"/>
    <w:semiHidden/>
    <w:unhideWhenUsed/>
    <w:rsid w:val="000717AC"/>
    <w:rPr>
      <w:color w:val="605E5C"/>
      <w:shd w:val="clear" w:color="auto" w:fill="E1DFDD"/>
    </w:rPr>
  </w:style>
  <w:style w:type="character" w:styleId="FollowedHyperlink">
    <w:name w:val="FollowedHyperlink"/>
    <w:uiPriority w:val="99"/>
    <w:semiHidden/>
    <w:unhideWhenUsed/>
    <w:rsid w:val="000717AC"/>
    <w:rPr>
      <w:color w:val="00AD86"/>
      <w:u w:val="single"/>
    </w:rPr>
  </w:style>
  <w:style w:type="paragraph" w:customStyle="1" w:styleId="AboutFIGO">
    <w:name w:val="About FIGO"/>
    <w:basedOn w:val="Heading3"/>
    <w:rsid w:val="005D40F3"/>
    <w:pPr>
      <w:spacing w:before="480"/>
    </w:pPr>
  </w:style>
  <w:style w:type="paragraph" w:styleId="NoSpacing">
    <w:name w:val="No Spacing"/>
    <w:aliases w:val="Table para"/>
    <w:uiPriority w:val="1"/>
    <w:qFormat/>
    <w:rsid w:val="000717AC"/>
    <w:pPr>
      <w:snapToGrid w:val="0"/>
    </w:pPr>
    <w:rPr>
      <w:rFonts w:ascii="Arial" w:hAnsi="Arial" w:cs="Mangal"/>
      <w:color w:val="00000A"/>
      <w:sz w:val="22"/>
    </w:rPr>
  </w:style>
  <w:style w:type="paragraph" w:customStyle="1" w:styleId="References">
    <w:name w:val="References"/>
    <w:basedOn w:val="NoSpacing"/>
    <w:qFormat/>
    <w:rsid w:val="003B609D"/>
    <w:pPr>
      <w:spacing w:after="20" w:line="264" w:lineRule="auto"/>
    </w:pPr>
    <w:rPr>
      <w:sz w:val="20"/>
      <w:szCs w:val="18"/>
    </w:rPr>
  </w:style>
  <w:style w:type="paragraph" w:styleId="Revision">
    <w:name w:val="Revision"/>
    <w:hidden/>
    <w:uiPriority w:val="99"/>
    <w:semiHidden/>
    <w:rsid w:val="00D36D5E"/>
    <w:rPr>
      <w:rFonts w:ascii="Arial" w:hAnsi="Arial" w:cs="Mangal"/>
      <w:color w:val="00000A"/>
      <w:sz w:val="22"/>
    </w:rPr>
  </w:style>
  <w:style w:type="paragraph" w:styleId="Title">
    <w:name w:val="Title"/>
    <w:next w:val="Normal"/>
    <w:link w:val="TitleChar"/>
    <w:uiPriority w:val="10"/>
    <w:qFormat/>
    <w:rsid w:val="006B6D87"/>
    <w:pPr>
      <w:spacing w:after="240" w:line="288" w:lineRule="auto"/>
    </w:pPr>
    <w:rPr>
      <w:rFonts w:ascii="Arial" w:eastAsia="Times New Roman" w:hAnsi="Arial"/>
      <w:b/>
      <w:bCs/>
      <w:color w:val="00AD86" w:themeColor="accent1"/>
      <w:spacing w:val="-2"/>
      <w:sz w:val="44"/>
      <w:szCs w:val="36"/>
    </w:rPr>
  </w:style>
  <w:style w:type="character" w:customStyle="1" w:styleId="TitleChar">
    <w:name w:val="Title Char"/>
    <w:basedOn w:val="DefaultParagraphFont"/>
    <w:link w:val="Title"/>
    <w:uiPriority w:val="10"/>
    <w:rsid w:val="006B6D87"/>
    <w:rPr>
      <w:rFonts w:ascii="Arial" w:eastAsia="Times New Roman" w:hAnsi="Arial"/>
      <w:b/>
      <w:bCs/>
      <w:color w:val="00AD86" w:themeColor="accent1"/>
      <w:spacing w:val="-2"/>
      <w:sz w:val="44"/>
      <w:szCs w:val="36"/>
    </w:rPr>
  </w:style>
  <w:style w:type="character" w:styleId="PlaceholderText">
    <w:name w:val="Placeholder Text"/>
    <w:basedOn w:val="DefaultParagraphFont"/>
    <w:uiPriority w:val="99"/>
    <w:semiHidden/>
    <w:rsid w:val="00821DC8"/>
    <w:rPr>
      <w:rFonts w:ascii="Arial" w:hAnsi="Arial"/>
      <w:color w:val="808080"/>
      <w:sz w:val="22"/>
    </w:rPr>
  </w:style>
  <w:style w:type="character" w:customStyle="1" w:styleId="Heading4Char">
    <w:name w:val="Heading 4 Char"/>
    <w:basedOn w:val="DefaultParagraphFont"/>
    <w:link w:val="Heading4"/>
    <w:uiPriority w:val="9"/>
    <w:semiHidden/>
    <w:rsid w:val="00955016"/>
    <w:rPr>
      <w:rFonts w:asciiTheme="majorHAnsi" w:eastAsiaTheme="majorEastAsia" w:hAnsiTheme="majorHAnsi" w:cs="Mangal"/>
      <w:i/>
      <w:iCs/>
      <w:color w:val="008163" w:themeColor="accent1" w:themeShade="BF"/>
      <w:sz w:val="22"/>
    </w:rPr>
  </w:style>
  <w:style w:type="paragraph" w:styleId="Header">
    <w:name w:val="header"/>
    <w:basedOn w:val="Normal"/>
    <w:link w:val="HeaderChar"/>
    <w:uiPriority w:val="99"/>
    <w:unhideWhenUsed/>
    <w:rsid w:val="004204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204B4"/>
    <w:rPr>
      <w:rFonts w:ascii="Arial" w:hAnsi="Arial" w:cs="Mangal"/>
      <w:color w:val="00000A"/>
      <w:sz w:val="22"/>
    </w:rPr>
  </w:style>
  <w:style w:type="numbering" w:customStyle="1" w:styleId="CurrentList1">
    <w:name w:val="Current List1"/>
    <w:uiPriority w:val="99"/>
    <w:rsid w:val="003F5184"/>
    <w:pPr>
      <w:numPr>
        <w:numId w:val="6"/>
      </w:numPr>
    </w:pPr>
  </w:style>
  <w:style w:type="paragraph" w:styleId="Subtitle">
    <w:name w:val="Subtitle"/>
    <w:basedOn w:val="Heading2"/>
    <w:next w:val="Normal"/>
    <w:link w:val="SubtitleChar"/>
    <w:uiPriority w:val="11"/>
    <w:qFormat/>
    <w:rsid w:val="00E06704"/>
    <w:pPr>
      <w:spacing w:after="360" w:line="312" w:lineRule="auto"/>
    </w:pPr>
    <w:rPr>
      <w:rFonts w:asciiTheme="minorHAnsi" w:eastAsiaTheme="majorEastAsia" w:hAnsiTheme="minorHAnsi" w:cstheme="majorBidi"/>
      <w:b w:val="0"/>
      <w:color w:val="181617" w:themeColor="text2"/>
      <w:sz w:val="28"/>
      <w:szCs w:val="26"/>
      <w:lang w:eastAsia="en-US"/>
    </w:rPr>
  </w:style>
  <w:style w:type="character" w:customStyle="1" w:styleId="SubtitleChar">
    <w:name w:val="Subtitle Char"/>
    <w:basedOn w:val="DefaultParagraphFont"/>
    <w:link w:val="Subtitle"/>
    <w:uiPriority w:val="11"/>
    <w:rsid w:val="00E06704"/>
    <w:rPr>
      <w:rFonts w:asciiTheme="minorHAnsi" w:eastAsiaTheme="majorEastAsia" w:hAnsiTheme="minorHAnsi" w:cstheme="majorBidi"/>
      <w:color w:val="181617" w:themeColor="text2"/>
      <w:sz w:val="28"/>
      <w:szCs w:val="26"/>
      <w:lang w:eastAsia="en-US" w:bidi="ar-SA"/>
    </w:rPr>
  </w:style>
  <w:style w:type="table" w:styleId="TableGrid">
    <w:name w:val="Table Grid"/>
    <w:basedOn w:val="TableNormal"/>
    <w:uiPriority w:val="39"/>
    <w:rsid w:val="00E06704"/>
    <w:rPr>
      <w:rFonts w:asciiTheme="minorHAnsi" w:eastAsiaTheme="minorHAnsi" w:hAnsiTheme="minorHAnsi" w:cstheme="minorBidi"/>
      <w:sz w:val="24"/>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DB23E7"/>
    <w:pPr>
      <w:spacing w:line="240" w:lineRule="auto"/>
    </w:pPr>
    <w:rPr>
      <w:rFonts w:cs="Mangal"/>
      <w:sz w:val="20"/>
      <w:szCs w:val="18"/>
    </w:rPr>
  </w:style>
  <w:style w:type="character" w:customStyle="1" w:styleId="CommentTextChar">
    <w:name w:val="Comment Text Char"/>
    <w:basedOn w:val="DefaultParagraphFont"/>
    <w:link w:val="CommentText"/>
    <w:uiPriority w:val="99"/>
    <w:rsid w:val="00DB23E7"/>
    <w:rPr>
      <w:rFonts w:ascii="Arial" w:hAnsi="Arial" w:cs="Mangal"/>
      <w:color w:val="00000A"/>
      <w:szCs w:val="18"/>
    </w:rPr>
  </w:style>
  <w:style w:type="paragraph" w:styleId="FootnoteText">
    <w:name w:val="footnote text"/>
    <w:basedOn w:val="Normal"/>
    <w:link w:val="FootnoteTextChar"/>
    <w:uiPriority w:val="99"/>
    <w:semiHidden/>
    <w:unhideWhenUsed/>
    <w:rsid w:val="006522FB"/>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6522FB"/>
    <w:rPr>
      <w:rFonts w:ascii="Arial" w:hAnsi="Arial" w:cs="Mangal"/>
      <w:color w:val="00000A"/>
      <w:szCs w:val="18"/>
    </w:rPr>
  </w:style>
  <w:style w:type="character" w:styleId="FootnoteReference">
    <w:name w:val="footnote reference"/>
    <w:basedOn w:val="DefaultParagraphFont"/>
    <w:uiPriority w:val="99"/>
    <w:semiHidden/>
    <w:unhideWhenUsed/>
    <w:rsid w:val="006522FB"/>
    <w:rPr>
      <w:vertAlign w:val="superscript"/>
    </w:rPr>
  </w:style>
  <w:style w:type="character" w:customStyle="1" w:styleId="author">
    <w:name w:val="author"/>
    <w:basedOn w:val="DefaultParagraphFont"/>
    <w:rsid w:val="003D6656"/>
  </w:style>
  <w:style w:type="character" w:customStyle="1" w:styleId="articletitle">
    <w:name w:val="articletitle"/>
    <w:basedOn w:val="DefaultParagraphFont"/>
    <w:rsid w:val="003D6656"/>
  </w:style>
  <w:style w:type="character" w:customStyle="1" w:styleId="pubyear">
    <w:name w:val="pubyear"/>
    <w:basedOn w:val="DefaultParagraphFont"/>
    <w:rsid w:val="003D6656"/>
  </w:style>
  <w:style w:type="character" w:customStyle="1" w:styleId="vol">
    <w:name w:val="vol"/>
    <w:basedOn w:val="DefaultParagraphFont"/>
    <w:rsid w:val="003D6656"/>
  </w:style>
  <w:style w:type="character" w:customStyle="1" w:styleId="pagefirst">
    <w:name w:val="pagefirst"/>
    <w:basedOn w:val="DefaultParagraphFont"/>
    <w:rsid w:val="003D6656"/>
  </w:style>
  <w:style w:type="character" w:customStyle="1" w:styleId="pagelast">
    <w:name w:val="pagelast"/>
    <w:basedOn w:val="DefaultParagraphFont"/>
    <w:rsid w:val="003D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795">
      <w:bodyDiv w:val="1"/>
      <w:marLeft w:val="0"/>
      <w:marRight w:val="0"/>
      <w:marTop w:val="0"/>
      <w:marBottom w:val="0"/>
      <w:divBdr>
        <w:top w:val="none" w:sz="0" w:space="0" w:color="auto"/>
        <w:left w:val="none" w:sz="0" w:space="0" w:color="auto"/>
        <w:bottom w:val="none" w:sz="0" w:space="0" w:color="auto"/>
        <w:right w:val="none" w:sz="0" w:space="0" w:color="auto"/>
      </w:divBdr>
    </w:div>
    <w:div w:id="76748892">
      <w:bodyDiv w:val="1"/>
      <w:marLeft w:val="0"/>
      <w:marRight w:val="0"/>
      <w:marTop w:val="0"/>
      <w:marBottom w:val="0"/>
      <w:divBdr>
        <w:top w:val="none" w:sz="0" w:space="0" w:color="auto"/>
        <w:left w:val="none" w:sz="0" w:space="0" w:color="auto"/>
        <w:bottom w:val="none" w:sz="0" w:space="0" w:color="auto"/>
        <w:right w:val="none" w:sz="0" w:space="0" w:color="auto"/>
      </w:divBdr>
    </w:div>
    <w:div w:id="91095851">
      <w:bodyDiv w:val="1"/>
      <w:marLeft w:val="0"/>
      <w:marRight w:val="0"/>
      <w:marTop w:val="0"/>
      <w:marBottom w:val="0"/>
      <w:divBdr>
        <w:top w:val="none" w:sz="0" w:space="0" w:color="auto"/>
        <w:left w:val="none" w:sz="0" w:space="0" w:color="auto"/>
        <w:bottom w:val="none" w:sz="0" w:space="0" w:color="auto"/>
        <w:right w:val="none" w:sz="0" w:space="0" w:color="auto"/>
      </w:divBdr>
    </w:div>
    <w:div w:id="176047234">
      <w:bodyDiv w:val="1"/>
      <w:marLeft w:val="0"/>
      <w:marRight w:val="0"/>
      <w:marTop w:val="0"/>
      <w:marBottom w:val="0"/>
      <w:divBdr>
        <w:top w:val="none" w:sz="0" w:space="0" w:color="auto"/>
        <w:left w:val="none" w:sz="0" w:space="0" w:color="auto"/>
        <w:bottom w:val="none" w:sz="0" w:space="0" w:color="auto"/>
        <w:right w:val="none" w:sz="0" w:space="0" w:color="auto"/>
      </w:divBdr>
    </w:div>
    <w:div w:id="264122005">
      <w:bodyDiv w:val="1"/>
      <w:marLeft w:val="0"/>
      <w:marRight w:val="0"/>
      <w:marTop w:val="0"/>
      <w:marBottom w:val="0"/>
      <w:divBdr>
        <w:top w:val="none" w:sz="0" w:space="0" w:color="auto"/>
        <w:left w:val="none" w:sz="0" w:space="0" w:color="auto"/>
        <w:bottom w:val="none" w:sz="0" w:space="0" w:color="auto"/>
        <w:right w:val="none" w:sz="0" w:space="0" w:color="auto"/>
      </w:divBdr>
    </w:div>
    <w:div w:id="284384874">
      <w:bodyDiv w:val="1"/>
      <w:marLeft w:val="0"/>
      <w:marRight w:val="0"/>
      <w:marTop w:val="0"/>
      <w:marBottom w:val="0"/>
      <w:divBdr>
        <w:top w:val="none" w:sz="0" w:space="0" w:color="auto"/>
        <w:left w:val="none" w:sz="0" w:space="0" w:color="auto"/>
        <w:bottom w:val="none" w:sz="0" w:space="0" w:color="auto"/>
        <w:right w:val="none" w:sz="0" w:space="0" w:color="auto"/>
      </w:divBdr>
      <w:divsChild>
        <w:div w:id="261686836">
          <w:marLeft w:val="0"/>
          <w:marRight w:val="0"/>
          <w:marTop w:val="0"/>
          <w:marBottom w:val="0"/>
          <w:divBdr>
            <w:top w:val="none" w:sz="0" w:space="0" w:color="auto"/>
            <w:left w:val="none" w:sz="0" w:space="0" w:color="auto"/>
            <w:bottom w:val="none" w:sz="0" w:space="0" w:color="auto"/>
            <w:right w:val="none" w:sz="0" w:space="0" w:color="auto"/>
          </w:divBdr>
        </w:div>
        <w:div w:id="2019117582">
          <w:marLeft w:val="0"/>
          <w:marRight w:val="0"/>
          <w:marTop w:val="0"/>
          <w:marBottom w:val="0"/>
          <w:divBdr>
            <w:top w:val="none" w:sz="0" w:space="0" w:color="auto"/>
            <w:left w:val="none" w:sz="0" w:space="0" w:color="auto"/>
            <w:bottom w:val="none" w:sz="0" w:space="0" w:color="auto"/>
            <w:right w:val="none" w:sz="0" w:space="0" w:color="auto"/>
          </w:divBdr>
        </w:div>
        <w:div w:id="135923419">
          <w:marLeft w:val="0"/>
          <w:marRight w:val="0"/>
          <w:marTop w:val="0"/>
          <w:marBottom w:val="0"/>
          <w:divBdr>
            <w:top w:val="none" w:sz="0" w:space="0" w:color="auto"/>
            <w:left w:val="none" w:sz="0" w:space="0" w:color="auto"/>
            <w:bottom w:val="none" w:sz="0" w:space="0" w:color="auto"/>
            <w:right w:val="none" w:sz="0" w:space="0" w:color="auto"/>
          </w:divBdr>
        </w:div>
      </w:divsChild>
    </w:div>
    <w:div w:id="308246297">
      <w:bodyDiv w:val="1"/>
      <w:marLeft w:val="0"/>
      <w:marRight w:val="0"/>
      <w:marTop w:val="0"/>
      <w:marBottom w:val="0"/>
      <w:divBdr>
        <w:top w:val="none" w:sz="0" w:space="0" w:color="auto"/>
        <w:left w:val="none" w:sz="0" w:space="0" w:color="auto"/>
        <w:bottom w:val="none" w:sz="0" w:space="0" w:color="auto"/>
        <w:right w:val="none" w:sz="0" w:space="0" w:color="auto"/>
      </w:divBdr>
    </w:div>
    <w:div w:id="402879156">
      <w:bodyDiv w:val="1"/>
      <w:marLeft w:val="0"/>
      <w:marRight w:val="0"/>
      <w:marTop w:val="0"/>
      <w:marBottom w:val="0"/>
      <w:divBdr>
        <w:top w:val="none" w:sz="0" w:space="0" w:color="auto"/>
        <w:left w:val="none" w:sz="0" w:space="0" w:color="auto"/>
        <w:bottom w:val="none" w:sz="0" w:space="0" w:color="auto"/>
        <w:right w:val="none" w:sz="0" w:space="0" w:color="auto"/>
      </w:divBdr>
    </w:div>
    <w:div w:id="469709907">
      <w:bodyDiv w:val="1"/>
      <w:marLeft w:val="0"/>
      <w:marRight w:val="0"/>
      <w:marTop w:val="0"/>
      <w:marBottom w:val="0"/>
      <w:divBdr>
        <w:top w:val="none" w:sz="0" w:space="0" w:color="auto"/>
        <w:left w:val="none" w:sz="0" w:space="0" w:color="auto"/>
        <w:bottom w:val="none" w:sz="0" w:space="0" w:color="auto"/>
        <w:right w:val="none" w:sz="0" w:space="0" w:color="auto"/>
      </w:divBdr>
    </w:div>
    <w:div w:id="508179813">
      <w:bodyDiv w:val="1"/>
      <w:marLeft w:val="0"/>
      <w:marRight w:val="0"/>
      <w:marTop w:val="0"/>
      <w:marBottom w:val="0"/>
      <w:divBdr>
        <w:top w:val="none" w:sz="0" w:space="0" w:color="auto"/>
        <w:left w:val="none" w:sz="0" w:space="0" w:color="auto"/>
        <w:bottom w:val="none" w:sz="0" w:space="0" w:color="auto"/>
        <w:right w:val="none" w:sz="0" w:space="0" w:color="auto"/>
      </w:divBdr>
    </w:div>
    <w:div w:id="534543880">
      <w:bodyDiv w:val="1"/>
      <w:marLeft w:val="0"/>
      <w:marRight w:val="0"/>
      <w:marTop w:val="0"/>
      <w:marBottom w:val="0"/>
      <w:divBdr>
        <w:top w:val="none" w:sz="0" w:space="0" w:color="auto"/>
        <w:left w:val="none" w:sz="0" w:space="0" w:color="auto"/>
        <w:bottom w:val="none" w:sz="0" w:space="0" w:color="auto"/>
        <w:right w:val="none" w:sz="0" w:space="0" w:color="auto"/>
      </w:divBdr>
    </w:div>
    <w:div w:id="604387427">
      <w:bodyDiv w:val="1"/>
      <w:marLeft w:val="0"/>
      <w:marRight w:val="0"/>
      <w:marTop w:val="0"/>
      <w:marBottom w:val="0"/>
      <w:divBdr>
        <w:top w:val="none" w:sz="0" w:space="0" w:color="auto"/>
        <w:left w:val="none" w:sz="0" w:space="0" w:color="auto"/>
        <w:bottom w:val="none" w:sz="0" w:space="0" w:color="auto"/>
        <w:right w:val="none" w:sz="0" w:space="0" w:color="auto"/>
      </w:divBdr>
    </w:div>
    <w:div w:id="700470000">
      <w:bodyDiv w:val="1"/>
      <w:marLeft w:val="0"/>
      <w:marRight w:val="0"/>
      <w:marTop w:val="0"/>
      <w:marBottom w:val="0"/>
      <w:divBdr>
        <w:top w:val="none" w:sz="0" w:space="0" w:color="auto"/>
        <w:left w:val="none" w:sz="0" w:space="0" w:color="auto"/>
        <w:bottom w:val="none" w:sz="0" w:space="0" w:color="auto"/>
        <w:right w:val="none" w:sz="0" w:space="0" w:color="auto"/>
      </w:divBdr>
    </w:div>
    <w:div w:id="803234904">
      <w:bodyDiv w:val="1"/>
      <w:marLeft w:val="0"/>
      <w:marRight w:val="0"/>
      <w:marTop w:val="0"/>
      <w:marBottom w:val="0"/>
      <w:divBdr>
        <w:top w:val="none" w:sz="0" w:space="0" w:color="auto"/>
        <w:left w:val="none" w:sz="0" w:space="0" w:color="auto"/>
        <w:bottom w:val="none" w:sz="0" w:space="0" w:color="auto"/>
        <w:right w:val="none" w:sz="0" w:space="0" w:color="auto"/>
      </w:divBdr>
    </w:div>
    <w:div w:id="933586813">
      <w:bodyDiv w:val="1"/>
      <w:marLeft w:val="0"/>
      <w:marRight w:val="0"/>
      <w:marTop w:val="0"/>
      <w:marBottom w:val="0"/>
      <w:divBdr>
        <w:top w:val="none" w:sz="0" w:space="0" w:color="auto"/>
        <w:left w:val="none" w:sz="0" w:space="0" w:color="auto"/>
        <w:bottom w:val="none" w:sz="0" w:space="0" w:color="auto"/>
        <w:right w:val="none" w:sz="0" w:space="0" w:color="auto"/>
      </w:divBdr>
    </w:div>
    <w:div w:id="987514173">
      <w:bodyDiv w:val="1"/>
      <w:marLeft w:val="0"/>
      <w:marRight w:val="0"/>
      <w:marTop w:val="0"/>
      <w:marBottom w:val="0"/>
      <w:divBdr>
        <w:top w:val="none" w:sz="0" w:space="0" w:color="auto"/>
        <w:left w:val="none" w:sz="0" w:space="0" w:color="auto"/>
        <w:bottom w:val="none" w:sz="0" w:space="0" w:color="auto"/>
        <w:right w:val="none" w:sz="0" w:space="0" w:color="auto"/>
      </w:divBdr>
    </w:div>
    <w:div w:id="1011417445">
      <w:bodyDiv w:val="1"/>
      <w:marLeft w:val="0"/>
      <w:marRight w:val="0"/>
      <w:marTop w:val="0"/>
      <w:marBottom w:val="0"/>
      <w:divBdr>
        <w:top w:val="none" w:sz="0" w:space="0" w:color="auto"/>
        <w:left w:val="none" w:sz="0" w:space="0" w:color="auto"/>
        <w:bottom w:val="none" w:sz="0" w:space="0" w:color="auto"/>
        <w:right w:val="none" w:sz="0" w:space="0" w:color="auto"/>
      </w:divBdr>
    </w:div>
    <w:div w:id="1046371403">
      <w:bodyDiv w:val="1"/>
      <w:marLeft w:val="0"/>
      <w:marRight w:val="0"/>
      <w:marTop w:val="0"/>
      <w:marBottom w:val="0"/>
      <w:divBdr>
        <w:top w:val="none" w:sz="0" w:space="0" w:color="auto"/>
        <w:left w:val="none" w:sz="0" w:space="0" w:color="auto"/>
        <w:bottom w:val="none" w:sz="0" w:space="0" w:color="auto"/>
        <w:right w:val="none" w:sz="0" w:space="0" w:color="auto"/>
      </w:divBdr>
    </w:div>
    <w:div w:id="1084835165">
      <w:bodyDiv w:val="1"/>
      <w:marLeft w:val="0"/>
      <w:marRight w:val="0"/>
      <w:marTop w:val="0"/>
      <w:marBottom w:val="0"/>
      <w:divBdr>
        <w:top w:val="none" w:sz="0" w:space="0" w:color="auto"/>
        <w:left w:val="none" w:sz="0" w:space="0" w:color="auto"/>
        <w:bottom w:val="none" w:sz="0" w:space="0" w:color="auto"/>
        <w:right w:val="none" w:sz="0" w:space="0" w:color="auto"/>
      </w:divBdr>
    </w:div>
    <w:div w:id="1113549422">
      <w:bodyDiv w:val="1"/>
      <w:marLeft w:val="0"/>
      <w:marRight w:val="0"/>
      <w:marTop w:val="0"/>
      <w:marBottom w:val="0"/>
      <w:divBdr>
        <w:top w:val="none" w:sz="0" w:space="0" w:color="auto"/>
        <w:left w:val="none" w:sz="0" w:space="0" w:color="auto"/>
        <w:bottom w:val="none" w:sz="0" w:space="0" w:color="auto"/>
        <w:right w:val="none" w:sz="0" w:space="0" w:color="auto"/>
      </w:divBdr>
    </w:div>
    <w:div w:id="1124663646">
      <w:bodyDiv w:val="1"/>
      <w:marLeft w:val="0"/>
      <w:marRight w:val="0"/>
      <w:marTop w:val="0"/>
      <w:marBottom w:val="0"/>
      <w:divBdr>
        <w:top w:val="none" w:sz="0" w:space="0" w:color="auto"/>
        <w:left w:val="none" w:sz="0" w:space="0" w:color="auto"/>
        <w:bottom w:val="none" w:sz="0" w:space="0" w:color="auto"/>
        <w:right w:val="none" w:sz="0" w:space="0" w:color="auto"/>
      </w:divBdr>
    </w:div>
    <w:div w:id="1168986902">
      <w:bodyDiv w:val="1"/>
      <w:marLeft w:val="0"/>
      <w:marRight w:val="0"/>
      <w:marTop w:val="0"/>
      <w:marBottom w:val="0"/>
      <w:divBdr>
        <w:top w:val="none" w:sz="0" w:space="0" w:color="auto"/>
        <w:left w:val="none" w:sz="0" w:space="0" w:color="auto"/>
        <w:bottom w:val="none" w:sz="0" w:space="0" w:color="auto"/>
        <w:right w:val="none" w:sz="0" w:space="0" w:color="auto"/>
      </w:divBdr>
    </w:div>
    <w:div w:id="1218974574">
      <w:bodyDiv w:val="1"/>
      <w:marLeft w:val="0"/>
      <w:marRight w:val="0"/>
      <w:marTop w:val="0"/>
      <w:marBottom w:val="0"/>
      <w:divBdr>
        <w:top w:val="none" w:sz="0" w:space="0" w:color="auto"/>
        <w:left w:val="none" w:sz="0" w:space="0" w:color="auto"/>
        <w:bottom w:val="none" w:sz="0" w:space="0" w:color="auto"/>
        <w:right w:val="none" w:sz="0" w:space="0" w:color="auto"/>
      </w:divBdr>
    </w:div>
    <w:div w:id="1238977792">
      <w:bodyDiv w:val="1"/>
      <w:marLeft w:val="0"/>
      <w:marRight w:val="0"/>
      <w:marTop w:val="0"/>
      <w:marBottom w:val="0"/>
      <w:divBdr>
        <w:top w:val="none" w:sz="0" w:space="0" w:color="auto"/>
        <w:left w:val="none" w:sz="0" w:space="0" w:color="auto"/>
        <w:bottom w:val="none" w:sz="0" w:space="0" w:color="auto"/>
        <w:right w:val="none" w:sz="0" w:space="0" w:color="auto"/>
      </w:divBdr>
    </w:div>
    <w:div w:id="1245797019">
      <w:bodyDiv w:val="1"/>
      <w:marLeft w:val="0"/>
      <w:marRight w:val="0"/>
      <w:marTop w:val="0"/>
      <w:marBottom w:val="0"/>
      <w:divBdr>
        <w:top w:val="none" w:sz="0" w:space="0" w:color="auto"/>
        <w:left w:val="none" w:sz="0" w:space="0" w:color="auto"/>
        <w:bottom w:val="none" w:sz="0" w:space="0" w:color="auto"/>
        <w:right w:val="none" w:sz="0" w:space="0" w:color="auto"/>
      </w:divBdr>
    </w:div>
    <w:div w:id="1312104252">
      <w:bodyDiv w:val="1"/>
      <w:marLeft w:val="0"/>
      <w:marRight w:val="0"/>
      <w:marTop w:val="0"/>
      <w:marBottom w:val="0"/>
      <w:divBdr>
        <w:top w:val="none" w:sz="0" w:space="0" w:color="auto"/>
        <w:left w:val="none" w:sz="0" w:space="0" w:color="auto"/>
        <w:bottom w:val="none" w:sz="0" w:space="0" w:color="auto"/>
        <w:right w:val="none" w:sz="0" w:space="0" w:color="auto"/>
      </w:divBdr>
    </w:div>
    <w:div w:id="1483963943">
      <w:bodyDiv w:val="1"/>
      <w:marLeft w:val="0"/>
      <w:marRight w:val="0"/>
      <w:marTop w:val="0"/>
      <w:marBottom w:val="0"/>
      <w:divBdr>
        <w:top w:val="none" w:sz="0" w:space="0" w:color="auto"/>
        <w:left w:val="none" w:sz="0" w:space="0" w:color="auto"/>
        <w:bottom w:val="none" w:sz="0" w:space="0" w:color="auto"/>
        <w:right w:val="none" w:sz="0" w:space="0" w:color="auto"/>
      </w:divBdr>
    </w:div>
    <w:div w:id="1517231426">
      <w:bodyDiv w:val="1"/>
      <w:marLeft w:val="0"/>
      <w:marRight w:val="0"/>
      <w:marTop w:val="0"/>
      <w:marBottom w:val="0"/>
      <w:divBdr>
        <w:top w:val="none" w:sz="0" w:space="0" w:color="auto"/>
        <w:left w:val="none" w:sz="0" w:space="0" w:color="auto"/>
        <w:bottom w:val="none" w:sz="0" w:space="0" w:color="auto"/>
        <w:right w:val="none" w:sz="0" w:space="0" w:color="auto"/>
      </w:divBdr>
    </w:div>
    <w:div w:id="1559130948">
      <w:bodyDiv w:val="1"/>
      <w:marLeft w:val="0"/>
      <w:marRight w:val="0"/>
      <w:marTop w:val="0"/>
      <w:marBottom w:val="0"/>
      <w:divBdr>
        <w:top w:val="none" w:sz="0" w:space="0" w:color="auto"/>
        <w:left w:val="none" w:sz="0" w:space="0" w:color="auto"/>
        <w:bottom w:val="none" w:sz="0" w:space="0" w:color="auto"/>
        <w:right w:val="none" w:sz="0" w:space="0" w:color="auto"/>
      </w:divBdr>
    </w:div>
    <w:div w:id="1596475193">
      <w:bodyDiv w:val="1"/>
      <w:marLeft w:val="0"/>
      <w:marRight w:val="0"/>
      <w:marTop w:val="0"/>
      <w:marBottom w:val="0"/>
      <w:divBdr>
        <w:top w:val="none" w:sz="0" w:space="0" w:color="auto"/>
        <w:left w:val="none" w:sz="0" w:space="0" w:color="auto"/>
        <w:bottom w:val="none" w:sz="0" w:space="0" w:color="auto"/>
        <w:right w:val="none" w:sz="0" w:space="0" w:color="auto"/>
      </w:divBdr>
    </w:div>
    <w:div w:id="1619336925">
      <w:bodyDiv w:val="1"/>
      <w:marLeft w:val="0"/>
      <w:marRight w:val="0"/>
      <w:marTop w:val="0"/>
      <w:marBottom w:val="0"/>
      <w:divBdr>
        <w:top w:val="none" w:sz="0" w:space="0" w:color="auto"/>
        <w:left w:val="none" w:sz="0" w:space="0" w:color="auto"/>
        <w:bottom w:val="none" w:sz="0" w:space="0" w:color="auto"/>
        <w:right w:val="none" w:sz="0" w:space="0" w:color="auto"/>
      </w:divBdr>
    </w:div>
    <w:div w:id="1621912740">
      <w:bodyDiv w:val="1"/>
      <w:marLeft w:val="0"/>
      <w:marRight w:val="0"/>
      <w:marTop w:val="0"/>
      <w:marBottom w:val="0"/>
      <w:divBdr>
        <w:top w:val="none" w:sz="0" w:space="0" w:color="auto"/>
        <w:left w:val="none" w:sz="0" w:space="0" w:color="auto"/>
        <w:bottom w:val="none" w:sz="0" w:space="0" w:color="auto"/>
        <w:right w:val="none" w:sz="0" w:space="0" w:color="auto"/>
      </w:divBdr>
    </w:div>
    <w:div w:id="1687366660">
      <w:bodyDiv w:val="1"/>
      <w:marLeft w:val="0"/>
      <w:marRight w:val="0"/>
      <w:marTop w:val="0"/>
      <w:marBottom w:val="0"/>
      <w:divBdr>
        <w:top w:val="none" w:sz="0" w:space="0" w:color="auto"/>
        <w:left w:val="none" w:sz="0" w:space="0" w:color="auto"/>
        <w:bottom w:val="none" w:sz="0" w:space="0" w:color="auto"/>
        <w:right w:val="none" w:sz="0" w:space="0" w:color="auto"/>
      </w:divBdr>
    </w:div>
    <w:div w:id="1746106997">
      <w:bodyDiv w:val="1"/>
      <w:marLeft w:val="0"/>
      <w:marRight w:val="0"/>
      <w:marTop w:val="0"/>
      <w:marBottom w:val="0"/>
      <w:divBdr>
        <w:top w:val="none" w:sz="0" w:space="0" w:color="auto"/>
        <w:left w:val="none" w:sz="0" w:space="0" w:color="auto"/>
        <w:bottom w:val="none" w:sz="0" w:space="0" w:color="auto"/>
        <w:right w:val="none" w:sz="0" w:space="0" w:color="auto"/>
      </w:divBdr>
    </w:div>
    <w:div w:id="1757242431">
      <w:bodyDiv w:val="1"/>
      <w:marLeft w:val="0"/>
      <w:marRight w:val="0"/>
      <w:marTop w:val="0"/>
      <w:marBottom w:val="0"/>
      <w:divBdr>
        <w:top w:val="none" w:sz="0" w:space="0" w:color="auto"/>
        <w:left w:val="none" w:sz="0" w:space="0" w:color="auto"/>
        <w:bottom w:val="none" w:sz="0" w:space="0" w:color="auto"/>
        <w:right w:val="none" w:sz="0" w:space="0" w:color="auto"/>
      </w:divBdr>
    </w:div>
    <w:div w:id="1771705808">
      <w:bodyDiv w:val="1"/>
      <w:marLeft w:val="0"/>
      <w:marRight w:val="0"/>
      <w:marTop w:val="0"/>
      <w:marBottom w:val="0"/>
      <w:divBdr>
        <w:top w:val="none" w:sz="0" w:space="0" w:color="auto"/>
        <w:left w:val="none" w:sz="0" w:space="0" w:color="auto"/>
        <w:bottom w:val="none" w:sz="0" w:space="0" w:color="auto"/>
        <w:right w:val="none" w:sz="0" w:space="0" w:color="auto"/>
      </w:divBdr>
    </w:div>
    <w:div w:id="1773893125">
      <w:bodyDiv w:val="1"/>
      <w:marLeft w:val="0"/>
      <w:marRight w:val="0"/>
      <w:marTop w:val="0"/>
      <w:marBottom w:val="0"/>
      <w:divBdr>
        <w:top w:val="none" w:sz="0" w:space="0" w:color="auto"/>
        <w:left w:val="none" w:sz="0" w:space="0" w:color="auto"/>
        <w:bottom w:val="none" w:sz="0" w:space="0" w:color="auto"/>
        <w:right w:val="none" w:sz="0" w:space="0" w:color="auto"/>
      </w:divBdr>
    </w:div>
    <w:div w:id="1806854873">
      <w:bodyDiv w:val="1"/>
      <w:marLeft w:val="0"/>
      <w:marRight w:val="0"/>
      <w:marTop w:val="0"/>
      <w:marBottom w:val="0"/>
      <w:divBdr>
        <w:top w:val="none" w:sz="0" w:space="0" w:color="auto"/>
        <w:left w:val="none" w:sz="0" w:space="0" w:color="auto"/>
        <w:bottom w:val="none" w:sz="0" w:space="0" w:color="auto"/>
        <w:right w:val="none" w:sz="0" w:space="0" w:color="auto"/>
      </w:divBdr>
    </w:div>
    <w:div w:id="1817868307">
      <w:bodyDiv w:val="1"/>
      <w:marLeft w:val="0"/>
      <w:marRight w:val="0"/>
      <w:marTop w:val="0"/>
      <w:marBottom w:val="0"/>
      <w:divBdr>
        <w:top w:val="none" w:sz="0" w:space="0" w:color="auto"/>
        <w:left w:val="none" w:sz="0" w:space="0" w:color="auto"/>
        <w:bottom w:val="none" w:sz="0" w:space="0" w:color="auto"/>
        <w:right w:val="none" w:sz="0" w:space="0" w:color="auto"/>
      </w:divBdr>
    </w:div>
    <w:div w:id="1829057198">
      <w:bodyDiv w:val="1"/>
      <w:marLeft w:val="0"/>
      <w:marRight w:val="0"/>
      <w:marTop w:val="0"/>
      <w:marBottom w:val="0"/>
      <w:divBdr>
        <w:top w:val="none" w:sz="0" w:space="0" w:color="auto"/>
        <w:left w:val="none" w:sz="0" w:space="0" w:color="auto"/>
        <w:bottom w:val="none" w:sz="0" w:space="0" w:color="auto"/>
        <w:right w:val="none" w:sz="0" w:space="0" w:color="auto"/>
      </w:divBdr>
    </w:div>
    <w:div w:id="1839807319">
      <w:bodyDiv w:val="1"/>
      <w:marLeft w:val="0"/>
      <w:marRight w:val="0"/>
      <w:marTop w:val="0"/>
      <w:marBottom w:val="0"/>
      <w:divBdr>
        <w:top w:val="none" w:sz="0" w:space="0" w:color="auto"/>
        <w:left w:val="none" w:sz="0" w:space="0" w:color="auto"/>
        <w:bottom w:val="none" w:sz="0" w:space="0" w:color="auto"/>
        <w:right w:val="none" w:sz="0" w:space="0" w:color="auto"/>
      </w:divBdr>
    </w:div>
    <w:div w:id="2002661073">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51685290">
      <w:bodyDiv w:val="1"/>
      <w:marLeft w:val="0"/>
      <w:marRight w:val="0"/>
      <w:marTop w:val="0"/>
      <w:marBottom w:val="0"/>
      <w:divBdr>
        <w:top w:val="none" w:sz="0" w:space="0" w:color="auto"/>
        <w:left w:val="none" w:sz="0" w:space="0" w:color="auto"/>
        <w:bottom w:val="none" w:sz="0" w:space="0" w:color="auto"/>
        <w:right w:val="none" w:sz="0" w:space="0" w:color="auto"/>
      </w:divBdr>
    </w:div>
    <w:div w:id="2115242451">
      <w:bodyDiv w:val="1"/>
      <w:marLeft w:val="0"/>
      <w:marRight w:val="0"/>
      <w:marTop w:val="0"/>
      <w:marBottom w:val="0"/>
      <w:divBdr>
        <w:top w:val="none" w:sz="0" w:space="0" w:color="auto"/>
        <w:left w:val="none" w:sz="0" w:space="0" w:color="auto"/>
        <w:bottom w:val="none" w:sz="0" w:space="0" w:color="auto"/>
        <w:right w:val="none" w:sz="0" w:space="0" w:color="auto"/>
      </w:divBdr>
    </w:div>
    <w:div w:id="212090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ob@figo.org" TargetMode="External"/><Relationship Id="rId3" Type="http://schemas.openxmlformats.org/officeDocument/2006/relationships/customXml" Target="../customXml/item3.xml"/><Relationship Id="rId21" Type="http://schemas.openxmlformats.org/officeDocument/2006/relationships/hyperlink" Target="http://www.figo.org/resources/figo-statements/uterine-atony-and-uterotonics-postpartum-haemorrhag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1155%2F2020%2F1628357"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igo.org/resources/figo-statements/uterine-atony-and-uterotonics-postpartum-haemorrh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ob@fig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GO">
  <a:themeElements>
    <a:clrScheme name="FIGO">
      <a:dk1>
        <a:sysClr val="windowText" lastClr="000000"/>
      </a:dk1>
      <a:lt1>
        <a:sysClr val="window" lastClr="FFFFFF"/>
      </a:lt1>
      <a:dk2>
        <a:srgbClr val="181617"/>
      </a:dk2>
      <a:lt2>
        <a:srgbClr val="F5F2E1"/>
      </a:lt2>
      <a:accent1>
        <a:srgbClr val="00AD86"/>
      </a:accent1>
      <a:accent2>
        <a:srgbClr val="93CAAC"/>
      </a:accent2>
      <a:accent3>
        <a:srgbClr val="8E3062"/>
      </a:accent3>
      <a:accent4>
        <a:srgbClr val="F5F2E1"/>
      </a:accent4>
      <a:accent5>
        <a:srgbClr val="989783"/>
      </a:accent5>
      <a:accent6>
        <a:srgbClr val="C00000"/>
      </a:accent6>
      <a:hlink>
        <a:srgbClr val="00AD86"/>
      </a:hlink>
      <a:folHlink>
        <a:srgbClr val="00AD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GO" id="{B71A3980-56C7-4EBC-9A74-3F645CD26707}" vid="{EF7A8C8F-EC39-46C4-A107-4ED04FF8D3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F63F7E9A06841AE3541350D990E02" ma:contentTypeVersion="16" ma:contentTypeDescription="Create a new document." ma:contentTypeScope="" ma:versionID="dbce5b9e1b677a090f45a42c0df5574b">
  <xsd:schema xmlns:xsd="http://www.w3.org/2001/XMLSchema" xmlns:xs="http://www.w3.org/2001/XMLSchema" xmlns:p="http://schemas.microsoft.com/office/2006/metadata/properties" xmlns:ns2="3d81d013-4516-475e-a676-f9f542f1970d" xmlns:ns3="6ffae9e5-eff4-4079-a16d-f80b667e650f" targetNamespace="http://schemas.microsoft.com/office/2006/metadata/properties" ma:root="true" ma:fieldsID="395eb41db166fd61b6a596291a07d896" ns2:_="" ns3:_="">
    <xsd:import namespace="3d81d013-4516-475e-a676-f9f542f1970d"/>
    <xsd:import namespace="6ffae9e5-eff4-4079-a16d-f80b667e65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1d013-4516-475e-a676-f9f542f19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bd8797-e538-46b1-a9fb-d2c1d9f099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fae9e5-eff4-4079-a16d-f80b667e6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de1e20-2d46-4d79-83e5-2fa659e10af6}" ma:internalName="TaxCatchAll" ma:showField="CatchAllData" ma:web="6ffae9e5-eff4-4079-a16d-f80b667e6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ffae9e5-eff4-4079-a16d-f80b667e650f">
      <UserInfo>
        <DisplayName>Hani Fawzi</DisplayName>
        <AccountId>69</AccountId>
        <AccountType/>
      </UserInfo>
      <UserInfo>
        <DisplayName>Jessica Morris</DisplayName>
        <AccountId>78</AccountId>
        <AccountType/>
      </UserInfo>
      <UserInfo>
        <DisplayName>Jessica Sutton</DisplayName>
        <AccountId>13</AccountId>
        <AccountType/>
      </UserInfo>
      <UserInfo>
        <DisplayName>Lesley Regan</DisplayName>
        <AccountId>40</AccountId>
        <AccountType/>
      </UserInfo>
      <UserInfo>
        <DisplayName>Jameen Kaur</DisplayName>
        <AccountId>80</AccountId>
        <AccountType/>
      </UserInfo>
    </SharedWithUsers>
    <lcf76f155ced4ddcb4097134ff3c332f xmlns="3d81d013-4516-475e-a676-f9f542f1970d">
      <Terms xmlns="http://schemas.microsoft.com/office/infopath/2007/PartnerControls"/>
    </lcf76f155ced4ddcb4097134ff3c332f>
    <TaxCatchAll xmlns="6ffae9e5-eff4-4079-a16d-f80b667e65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6AA53-ECA8-4902-9A7E-9A6B6B9FF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1d013-4516-475e-a676-f9f542f1970d"/>
    <ds:schemaRef ds:uri="6ffae9e5-eff4-4079-a16d-f80b667e6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18F4D-0707-4CD0-AD75-0F016EE6F1AF}">
  <ds:schemaRefs>
    <ds:schemaRef ds:uri="http://schemas.openxmlformats.org/officeDocument/2006/bibliography"/>
  </ds:schemaRefs>
</ds:datastoreItem>
</file>

<file path=customXml/itemProps3.xml><?xml version="1.0" encoding="utf-8"?>
<ds:datastoreItem xmlns:ds="http://schemas.openxmlformats.org/officeDocument/2006/customXml" ds:itemID="{995E03B6-6E70-4827-A3A7-3B06EEEE34B0}">
  <ds:schemaRef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ffae9e5-eff4-4079-a16d-f80b667e650f"/>
    <ds:schemaRef ds:uri="http://schemas.microsoft.com/office/2006/metadata/properties"/>
    <ds:schemaRef ds:uri="3d81d013-4516-475e-a676-f9f542f1970d"/>
    <ds:schemaRef ds:uri="http://purl.org/dc/dcmitype/"/>
    <ds:schemaRef ds:uri="http://purl.org/dc/elements/1.1/"/>
  </ds:schemaRefs>
</ds:datastoreItem>
</file>

<file path=customXml/itemProps4.xml><?xml version="1.0" encoding="utf-8"?>
<ds:datastoreItem xmlns:ds="http://schemas.openxmlformats.org/officeDocument/2006/customXml" ds:itemID="{F0E3C66E-12E9-4C14-B49B-CA674C6B2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Déclaration de la FIGO –Uterine atony and uterotonics in postpartum haemorrhage</vt:lpstr>
    </vt:vector>
  </TitlesOfParts>
  <Manager/>
  <Company/>
  <LinksUpToDate>false</LinksUpToDate>
  <CharactersWithSpaces>14311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la FIGO – Atonie utérine et utérotoniques dans les hémorragies du post-partum</dc:title>
  <dc:subject/>
  <dc:creator>Rob Hucker</dc:creator>
  <cp:keywords/>
  <dc:description/>
  <cp:lastModifiedBy>N Callow</cp:lastModifiedBy>
  <cp:revision>4</cp:revision>
  <cp:lastPrinted>2019-11-14T16:04:00Z</cp:lastPrinted>
  <dcterms:created xsi:type="dcterms:W3CDTF">2023-10-02T09:18:00Z</dcterms:created>
  <dcterms:modified xsi:type="dcterms:W3CDTF">2023-10-12T08:34:00Z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0x010100133F63F7E9A06841AE3541350D990E02</vt:lpwstr>
  </property>
  <property fmtid="{D5CDD505-2E9C-101B-9397-08002B2CF9AE}" pid="3" name="Copyright">
    <vt:lpwstr>International Federation of Gynecology and Obstetrics</vt:lpwstr>
  </property>
  <property fmtid="{D5CDD505-2E9C-101B-9397-08002B2CF9AE}" pid="4" name="MediaServiceImageTags">
    <vt:lpwstr/>
  </property>
</Properties>
</file>